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06C35">
      <w:pPr>
        <w:snapToGrid w:val="0"/>
        <w:spacing w:line="360" w:lineRule="auto"/>
        <w:ind w:firstLine="880" w:firstLineChars="200"/>
        <w:rPr>
          <w:rFonts w:hint="eastAsia" w:ascii="方正小标宋简体" w:hAnsi="黑体" w:eastAsia="方正小标宋简体" w:cs="Times New Roman"/>
          <w:kern w:val="0"/>
          <w:sz w:val="44"/>
          <w:szCs w:val="44"/>
        </w:rPr>
      </w:pPr>
    </w:p>
    <w:p w14:paraId="3E9FAC1E">
      <w:pPr>
        <w:snapToGrid w:val="0"/>
        <w:spacing w:line="360" w:lineRule="auto"/>
        <w:ind w:firstLine="880" w:firstLineChars="200"/>
        <w:rPr>
          <w:rFonts w:hint="eastAsia" w:ascii="方正小标宋简体" w:hAnsi="黑体" w:eastAsia="方正小标宋简体" w:cs="Times New Roman"/>
          <w:kern w:val="0"/>
          <w:sz w:val="44"/>
          <w:szCs w:val="44"/>
        </w:rPr>
      </w:pPr>
      <w:r>
        <w:rPr>
          <w:rFonts w:hint="eastAsia" w:ascii="方正小标宋简体" w:hAnsi="黑体" w:eastAsia="方正小标宋简体" w:cs="Times New Roman"/>
          <w:kern w:val="0"/>
          <w:sz w:val="44"/>
          <w:szCs w:val="44"/>
        </w:rPr>
        <w:t>《文博场馆数字化应用规范》</w:t>
      </w:r>
    </w:p>
    <w:p w14:paraId="376F7EB3">
      <w:pPr>
        <w:snapToGrid w:val="0"/>
        <w:spacing w:line="360" w:lineRule="auto"/>
        <w:ind w:firstLine="1320" w:firstLineChars="300"/>
        <w:rPr>
          <w:rFonts w:hint="eastAsia" w:ascii="方正小标宋简体" w:hAnsi="黑体" w:eastAsia="方正小标宋简体" w:cs="Times New Roman"/>
          <w:kern w:val="0"/>
          <w:sz w:val="44"/>
          <w:szCs w:val="44"/>
        </w:rPr>
      </w:pPr>
      <w:r>
        <w:rPr>
          <w:rFonts w:hint="eastAsia" w:ascii="方正小标宋简体" w:hAnsi="黑体" w:eastAsia="方正小标宋简体" w:cs="Times New Roman"/>
          <w:kern w:val="0"/>
          <w:sz w:val="44"/>
          <w:szCs w:val="44"/>
        </w:rPr>
        <w:t>南阳市地方标准编制说明</w:t>
      </w:r>
    </w:p>
    <w:p w14:paraId="43E6335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eastAsia="宋体" w:asciiTheme="minorAscii" w:hAnsiTheme="minorAscii"/>
          <w:b/>
          <w:bCs/>
          <w:color w:val="000000" w:themeColor="text1"/>
          <w:kern w:val="0"/>
          <w:sz w:val="44"/>
          <w:szCs w:val="44"/>
          <w:lang w:val="en-US" w:eastAsia="zh-CN"/>
          <w14:textFill>
            <w14:solidFill>
              <w14:schemeClr w14:val="tx1"/>
            </w14:solidFill>
          </w14:textFill>
        </w:rPr>
      </w:pPr>
    </w:p>
    <w:p w14:paraId="3F7B6B8C">
      <w:pPr>
        <w:keepNext w:val="0"/>
        <w:keepLines w:val="0"/>
        <w:pageBreakBefore w:val="0"/>
        <w:widowControl w:val="0"/>
        <w:numPr>
          <w:ilvl w:val="0"/>
          <w:numId w:val="0"/>
        </w:numPr>
        <w:kinsoku/>
        <w:wordWrap/>
        <w:overflowPunct/>
        <w:topLinePunct w:val="0"/>
        <w:autoSpaceDE/>
        <w:autoSpaceDN/>
        <w:bidi w:val="0"/>
        <w:adjustRightInd/>
        <w:spacing w:line="240" w:lineRule="auto"/>
        <w:ind w:firstLine="640" w:firstLineChars="200"/>
        <w:textAlignment w:val="auto"/>
        <w:rPr>
          <w:rFonts w:hint="eastAsia" w:ascii="黑体" w:hAnsi="黑体" w:eastAsia="黑体" w:cs="黑体"/>
          <w:color w:val="000000" w:themeColor="text1"/>
          <w:sz w:val="32"/>
          <w:szCs w:val="24"/>
          <w:lang w:val="en-US" w:eastAsia="zh-CN"/>
          <w14:textFill>
            <w14:solidFill>
              <w14:schemeClr w14:val="tx1"/>
            </w14:solidFill>
          </w14:textFill>
        </w:rPr>
      </w:pPr>
      <w:r>
        <w:rPr>
          <w:rFonts w:hint="eastAsia" w:ascii="黑体" w:hAnsi="黑体" w:eastAsia="黑体" w:cs="黑体"/>
          <w:color w:val="000000" w:themeColor="text1"/>
          <w:sz w:val="32"/>
          <w:szCs w:val="24"/>
          <w:lang w:val="en-US" w:eastAsia="zh-CN"/>
          <w14:textFill>
            <w14:solidFill>
              <w14:schemeClr w14:val="tx1"/>
            </w14:solidFill>
          </w14:textFill>
        </w:rPr>
        <w:t>一、编制的目的和意义</w:t>
      </w:r>
    </w:p>
    <w:p w14:paraId="50029A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DFDFE"/>
        <w:spacing w:before="0" w:beforeAutospacing="0" w:after="0" w:afterAutospacing="0" w:line="26" w:lineRule="atLeast"/>
        <w:ind w:right="0" w:firstLine="643" w:firstLineChars="200"/>
        <w:rPr>
          <w:rFonts w:hint="default" w:ascii="仿宋_GB2312" w:hAnsi="Times New Roman" w:eastAsia="仿宋_GB2312" w:cs="Times New Roman"/>
          <w:b/>
          <w:bCs/>
          <w:kern w:val="0"/>
          <w:sz w:val="32"/>
          <w:szCs w:val="32"/>
          <w:lang w:val="en-US" w:eastAsia="zh-CN" w:bidi="ar-SA"/>
        </w:rPr>
      </w:pPr>
      <w:r>
        <w:rPr>
          <w:rFonts w:hint="eastAsia" w:ascii="仿宋_GB2312" w:hAnsi="Times New Roman" w:eastAsia="仿宋_GB2312" w:cs="Times New Roman"/>
          <w:b/>
          <w:bCs/>
          <w:kern w:val="0"/>
          <w:sz w:val="32"/>
          <w:szCs w:val="32"/>
          <w:lang w:val="en-US" w:eastAsia="zh-CN" w:bidi="ar-SA"/>
        </w:rPr>
        <w:t>（一）目的</w:t>
      </w:r>
    </w:p>
    <w:p w14:paraId="403D29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DFDFE"/>
        <w:spacing w:before="0" w:beforeAutospacing="0" w:after="0" w:afterAutospacing="0" w:line="26" w:lineRule="atLeast"/>
        <w:ind w:right="0" w:firstLine="640" w:firstLineChars="200"/>
        <w:rPr>
          <w:rFonts w:hint="eastAsia"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2021年九部门联合印发《关于推进博物馆改革发展的指导意见》对文博场馆的数字化建设提供指导，国家政策的推动和行业发展趋势要求文博场馆必须加强数字化服务规范，保持文博场馆数字化转型过程中的方向性和一致性，推进文博数字化转型，推动文博事业的高质量发展。</w:t>
      </w:r>
    </w:p>
    <w:p w14:paraId="4831FA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DFDFE"/>
        <w:spacing w:before="0" w:beforeAutospacing="0" w:after="0" w:afterAutospacing="0" w:line="26" w:lineRule="atLeast"/>
        <w:ind w:right="0" w:firstLine="640" w:firstLineChars="200"/>
        <w:rPr>
          <w:rFonts w:hint="eastAsia"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随着信息技术的飞速发展，数字化服务在文博场馆中的应用日益普遍，观众对文博场馆的服务质量和展览内容的要求也越来越高，传统的展览模式和讲解方式已难以满足观众日益增长的多元化需求。近年来，云计算、大数据、人工智能、物联网、虚拟现实（VR）、增强现实（AR）等数字化技术日新月异，为文博场馆的数字化转型提供了强有力的技术支撑。数字化成为推动文博行业转型和创新的重要力量，也是健全博物馆公共文化服务体系、落实文化数字化战略的重要举措和必由之路。</w:t>
      </w:r>
    </w:p>
    <w:p w14:paraId="2F30C4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DFDFE"/>
        <w:spacing w:before="0" w:beforeAutospacing="0" w:after="0" w:afterAutospacing="0" w:line="26" w:lineRule="atLeast"/>
        <w:ind w:right="0" w:firstLine="643" w:firstLineChars="200"/>
        <w:rPr>
          <w:rFonts w:hint="default" w:ascii="仿宋_GB2312" w:hAnsi="Times New Roman" w:eastAsia="仿宋_GB2312" w:cs="Times New Roman"/>
          <w:b/>
          <w:bCs/>
          <w:kern w:val="0"/>
          <w:sz w:val="32"/>
          <w:szCs w:val="32"/>
          <w:lang w:val="en-US" w:eastAsia="zh-CN" w:bidi="ar-SA"/>
        </w:rPr>
      </w:pPr>
      <w:r>
        <w:rPr>
          <w:rFonts w:hint="eastAsia" w:ascii="仿宋_GB2312" w:hAnsi="Times New Roman" w:eastAsia="仿宋_GB2312" w:cs="Times New Roman"/>
          <w:b/>
          <w:bCs/>
          <w:kern w:val="0"/>
          <w:sz w:val="32"/>
          <w:szCs w:val="32"/>
          <w:lang w:val="en-US" w:eastAsia="zh-CN" w:bidi="ar-SA"/>
        </w:rPr>
        <w:t>（二）意义</w:t>
      </w:r>
    </w:p>
    <w:p w14:paraId="69E0A3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DFDFE"/>
        <w:spacing w:before="0" w:beforeAutospacing="0" w:after="0" w:afterAutospacing="0" w:line="26" w:lineRule="atLeast"/>
        <w:ind w:right="0" w:firstLine="640" w:firstLineChars="200"/>
        <w:rPr>
          <w:rFonts w:hint="eastAsia"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文博场馆</w:t>
      </w:r>
      <w:r>
        <w:rPr>
          <w:rFonts w:hint="default" w:ascii="仿宋_GB2312" w:hAnsi="Times New Roman" w:eastAsia="仿宋_GB2312" w:cs="Times New Roman"/>
          <w:kern w:val="0"/>
          <w:sz w:val="32"/>
          <w:szCs w:val="32"/>
          <w:lang w:val="en-US" w:eastAsia="zh-CN" w:bidi="ar-SA"/>
        </w:rPr>
        <w:t>通过数字化服务，如在线预约、虚拟展览等，提高文博场馆的参观体验和服务质量</w:t>
      </w:r>
      <w:r>
        <w:rPr>
          <w:rFonts w:hint="eastAsia" w:ascii="仿宋_GB2312" w:hAnsi="Times New Roman" w:eastAsia="仿宋_GB2312" w:cs="Times New Roman"/>
          <w:kern w:val="0"/>
          <w:sz w:val="32"/>
          <w:szCs w:val="32"/>
          <w:lang w:val="en-US" w:eastAsia="zh-CN" w:bidi="ar-SA"/>
        </w:rPr>
        <w:t>；</w:t>
      </w:r>
      <w:r>
        <w:rPr>
          <w:rFonts w:hint="default" w:ascii="仿宋_GB2312" w:hAnsi="Times New Roman" w:eastAsia="仿宋_GB2312" w:cs="Times New Roman"/>
          <w:kern w:val="0"/>
          <w:sz w:val="32"/>
          <w:szCs w:val="32"/>
          <w:lang w:val="en-US" w:eastAsia="zh-CN" w:bidi="ar-SA"/>
        </w:rPr>
        <w:t>利用数字化技术，将文物资源转化为数字文化资源，实现文物资源的活化和再利用，拓宽文化传播渠道</w:t>
      </w:r>
      <w:r>
        <w:rPr>
          <w:rFonts w:hint="eastAsia" w:ascii="仿宋_GB2312" w:hAnsi="Times New Roman" w:eastAsia="仿宋_GB2312" w:cs="Times New Roman"/>
          <w:kern w:val="0"/>
          <w:sz w:val="32"/>
          <w:szCs w:val="32"/>
          <w:lang w:val="en-US" w:eastAsia="zh-CN" w:bidi="ar-SA"/>
        </w:rPr>
        <w:t>；</w:t>
      </w:r>
      <w:r>
        <w:rPr>
          <w:rFonts w:hint="default" w:ascii="仿宋_GB2312" w:hAnsi="Times New Roman" w:eastAsia="仿宋_GB2312" w:cs="Times New Roman"/>
          <w:kern w:val="0"/>
          <w:sz w:val="32"/>
          <w:szCs w:val="32"/>
          <w:lang w:val="en-US" w:eastAsia="zh-CN" w:bidi="ar-SA"/>
        </w:rPr>
        <w:t>将文物信息以数字形式记录、保存和展示，方便公众了解和学习文化遗产，同时减少对原物的损耗和破坏</w:t>
      </w:r>
      <w:r>
        <w:rPr>
          <w:rFonts w:hint="eastAsia" w:ascii="仿宋_GB2312" w:hAnsi="Times New Roman" w:eastAsia="仿宋_GB2312" w:cs="Times New Roman"/>
          <w:kern w:val="0"/>
          <w:sz w:val="32"/>
          <w:szCs w:val="32"/>
          <w:lang w:val="en-US" w:eastAsia="zh-CN" w:bidi="ar-SA"/>
        </w:rPr>
        <w:t>；</w:t>
      </w:r>
      <w:r>
        <w:rPr>
          <w:rFonts w:hint="default" w:ascii="仿宋_GB2312" w:hAnsi="Times New Roman" w:eastAsia="仿宋_GB2312" w:cs="Times New Roman"/>
          <w:kern w:val="0"/>
          <w:sz w:val="32"/>
          <w:szCs w:val="32"/>
          <w:lang w:val="en-US" w:eastAsia="zh-CN" w:bidi="ar-SA"/>
        </w:rPr>
        <w:t>数字化服务规范可以促进文博场馆与旅游产业的融合发展，通过数字化手段提升旅游体验和服务质量，有助于推动文旅产业的转型升级和高质量发展</w:t>
      </w:r>
      <w:r>
        <w:rPr>
          <w:rFonts w:hint="eastAsia" w:ascii="仿宋_GB2312" w:hAnsi="Times New Roman" w:eastAsia="仿宋_GB2312" w:cs="Times New Roman"/>
          <w:kern w:val="0"/>
          <w:sz w:val="32"/>
          <w:szCs w:val="32"/>
          <w:lang w:val="en-US" w:eastAsia="zh-CN" w:bidi="ar-SA"/>
        </w:rPr>
        <w:t>。</w:t>
      </w:r>
    </w:p>
    <w:p w14:paraId="30C8434F">
      <w:pPr>
        <w:keepNext w:val="0"/>
        <w:keepLines w:val="0"/>
        <w:pageBreakBefore w:val="0"/>
        <w:widowControl w:val="0"/>
        <w:numPr>
          <w:ilvl w:val="0"/>
          <w:numId w:val="0"/>
        </w:numPr>
        <w:kinsoku/>
        <w:wordWrap/>
        <w:overflowPunct/>
        <w:topLinePunct w:val="0"/>
        <w:autoSpaceDE/>
        <w:autoSpaceDN/>
        <w:bidi w:val="0"/>
        <w:adjustRightInd/>
        <w:spacing w:line="240" w:lineRule="auto"/>
        <w:ind w:firstLine="640" w:firstLineChars="200"/>
        <w:textAlignment w:val="auto"/>
        <w:rPr>
          <w:rFonts w:hint="eastAsia" w:ascii="方正楷体_GB2312" w:hAnsi="方正楷体_GB2312" w:eastAsia="方正楷体_GB2312" w:cs="方正楷体_GB2312"/>
          <w:color w:val="C00000"/>
          <w:kern w:val="0"/>
          <w:sz w:val="32"/>
          <w:szCs w:val="32"/>
          <w:lang w:val="en-US" w:eastAsia="zh-CN" w:bidi="ar-SA"/>
        </w:rPr>
      </w:pPr>
      <w:r>
        <w:rPr>
          <w:rFonts w:hint="eastAsia" w:ascii="黑体" w:hAnsi="黑体" w:eastAsia="黑体" w:cs="黑体"/>
          <w:color w:val="000000" w:themeColor="text1"/>
          <w:sz w:val="32"/>
          <w:szCs w:val="24"/>
          <w:lang w:val="en-US" w:eastAsia="zh-CN"/>
          <w14:textFill>
            <w14:solidFill>
              <w14:schemeClr w14:val="tx1"/>
            </w14:solidFill>
          </w14:textFill>
        </w:rPr>
        <w:t>二、任务来源及编制原则和依据</w:t>
      </w:r>
    </w:p>
    <w:p w14:paraId="669364AD">
      <w:pPr>
        <w:keepNext w:val="0"/>
        <w:keepLines w:val="0"/>
        <w:pageBreakBefore w:val="0"/>
        <w:widowControl w:val="0"/>
        <w:numPr>
          <w:ilvl w:val="0"/>
          <w:numId w:val="0"/>
        </w:numPr>
        <w:kinsoku/>
        <w:wordWrap/>
        <w:overflowPunct/>
        <w:topLinePunct w:val="0"/>
        <w:autoSpaceDE/>
        <w:autoSpaceDN/>
        <w:bidi w:val="0"/>
        <w:adjustRightInd/>
        <w:spacing w:line="240" w:lineRule="auto"/>
        <w:ind w:firstLine="643" w:firstLineChars="200"/>
        <w:textAlignment w:val="auto"/>
        <w:rPr>
          <w:rFonts w:hint="default" w:ascii="仿宋_GB2312" w:hAnsi="Times New Roman" w:eastAsia="仿宋_GB2312" w:cs="Times New Roman"/>
          <w:b/>
          <w:bCs/>
          <w:kern w:val="0"/>
          <w:sz w:val="32"/>
          <w:szCs w:val="32"/>
          <w:lang w:val="en-US" w:eastAsia="zh-CN" w:bidi="ar-SA"/>
        </w:rPr>
      </w:pPr>
      <w:r>
        <w:rPr>
          <w:rFonts w:hint="eastAsia" w:ascii="仿宋_GB2312" w:hAnsi="Times New Roman" w:eastAsia="仿宋_GB2312" w:cs="Times New Roman"/>
          <w:b/>
          <w:bCs/>
          <w:kern w:val="0"/>
          <w:sz w:val="32"/>
          <w:szCs w:val="32"/>
          <w:lang w:val="en-US" w:eastAsia="zh-CN" w:bidi="ar-SA"/>
        </w:rPr>
        <w:t>（一）任务来源</w:t>
      </w:r>
    </w:p>
    <w:p w14:paraId="082DF5EB">
      <w:pPr>
        <w:widowControl/>
        <w:spacing w:line="360" w:lineRule="auto"/>
        <w:ind w:firstLine="664" w:firstLineChars="200"/>
        <w:rPr>
          <w:rFonts w:hint="eastAsia" w:ascii="仿宋" w:hAnsi="仿宋" w:eastAsia="仿宋" w:cs="仿宋"/>
          <w:color w:val="000000"/>
          <w:spacing w:val="6"/>
          <w:sz w:val="32"/>
          <w:szCs w:val="32"/>
          <w:lang w:val="en-US" w:eastAsia="zh-CN"/>
        </w:rPr>
      </w:pPr>
      <w:r>
        <w:rPr>
          <w:rFonts w:hint="default" w:ascii="仿宋" w:hAnsi="仿宋" w:eastAsia="仿宋" w:cs="仿宋"/>
          <w:color w:val="000000"/>
          <w:spacing w:val="6"/>
          <w:sz w:val="32"/>
          <w:szCs w:val="32"/>
          <w:lang w:val="en-US" w:eastAsia="zh-CN"/>
        </w:rPr>
        <w:t>本标准由南阳市</w:t>
      </w:r>
      <w:r>
        <w:rPr>
          <w:rFonts w:hint="eastAsia" w:ascii="仿宋" w:hAnsi="仿宋" w:eastAsia="仿宋" w:cs="仿宋"/>
          <w:color w:val="000000"/>
          <w:spacing w:val="6"/>
          <w:sz w:val="32"/>
          <w:szCs w:val="32"/>
          <w:lang w:val="en-US" w:eastAsia="zh-CN"/>
        </w:rPr>
        <w:t>博物院</w:t>
      </w:r>
      <w:r>
        <w:rPr>
          <w:rFonts w:hint="default" w:ascii="仿宋" w:hAnsi="仿宋" w:eastAsia="仿宋" w:cs="仿宋"/>
          <w:color w:val="000000"/>
          <w:spacing w:val="6"/>
          <w:sz w:val="32"/>
          <w:szCs w:val="32"/>
          <w:lang w:val="en-US" w:eastAsia="zh-CN"/>
        </w:rPr>
        <w:t>提出</w:t>
      </w:r>
      <w:r>
        <w:rPr>
          <w:rFonts w:hint="eastAsia" w:ascii="仿宋" w:hAnsi="仿宋" w:eastAsia="仿宋" w:cs="仿宋"/>
          <w:color w:val="000000"/>
          <w:spacing w:val="6"/>
          <w:sz w:val="32"/>
          <w:szCs w:val="32"/>
          <w:lang w:val="en-US" w:eastAsia="zh-CN"/>
        </w:rPr>
        <w:t>。</w:t>
      </w:r>
      <w:r>
        <w:rPr>
          <w:rFonts w:hint="eastAsia" w:ascii="仿宋_GB2312" w:hAnsi="Times New Roman" w:eastAsia="仿宋_GB2312" w:cs="Times New Roman"/>
          <w:kern w:val="0"/>
          <w:sz w:val="32"/>
          <w:szCs w:val="32"/>
          <w:lang w:val="en-US" w:eastAsia="zh-CN" w:bidi="ar-SA"/>
        </w:rPr>
        <w:t>南阳市博物院目前数字化项目有：视频监控系统、综合集成管理平台系统、入侵报警系统、出入门禁管理系统、电子巡查系统、防爆安全检查系统、有线对讲系统、广播系统；文物智慧化管理系统、综合平台展示、大数据可视化展示、环境监测系统、客流分析系统、预约系统；展览360度VR全景展示、透明屏藏品展示系统、刘秀雕像沉浸式空间、藏品数字化、多媒体集控系统”等；以及官方网站、官方微信公众号、抖音号、快手号、语音导览、AR讲解服务器、觅塔导览系统等。</w:t>
      </w:r>
      <w:r>
        <w:rPr>
          <w:rFonts w:hint="eastAsia" w:ascii="仿宋" w:hAnsi="仿宋" w:eastAsia="仿宋" w:cs="仿宋"/>
          <w:color w:val="000000"/>
          <w:spacing w:val="6"/>
          <w:sz w:val="32"/>
          <w:szCs w:val="32"/>
          <w:lang w:val="en-US" w:eastAsia="zh-CN"/>
        </w:rPr>
        <w:t>结合南阳市博物院近年来场馆数字化应用工作的成效，并对全市文博系统数字化应用进行实地调研和可行性分析，特别是与省内优秀文博场馆数字化应用经验进行交流，最终归纳整理出南阳市地方标准《文博场馆数字化应用规范》</w:t>
      </w:r>
      <w:bookmarkStart w:id="0" w:name="_GoBack"/>
      <w:bookmarkEnd w:id="0"/>
      <w:r>
        <w:rPr>
          <w:rFonts w:hint="eastAsia" w:ascii="仿宋" w:hAnsi="仿宋" w:eastAsia="仿宋" w:cs="仿宋"/>
          <w:color w:val="000000"/>
          <w:spacing w:val="6"/>
          <w:sz w:val="32"/>
          <w:szCs w:val="32"/>
          <w:lang w:val="en-US" w:eastAsia="zh-CN"/>
        </w:rPr>
        <w:t>初稿。</w:t>
      </w:r>
    </w:p>
    <w:p w14:paraId="12AE4C73">
      <w:pPr>
        <w:widowControl/>
        <w:spacing w:line="360" w:lineRule="auto"/>
        <w:ind w:firstLine="664" w:firstLineChars="200"/>
        <w:rPr>
          <w:rFonts w:hint="eastAsia" w:ascii="仿宋" w:hAnsi="仿宋" w:eastAsia="仿宋" w:cs="仿宋"/>
          <w:color w:val="000000"/>
          <w:spacing w:val="6"/>
          <w:sz w:val="32"/>
          <w:szCs w:val="32"/>
          <w:lang w:val="en-US" w:eastAsia="zh-CN"/>
        </w:rPr>
      </w:pPr>
      <w:r>
        <w:rPr>
          <w:rFonts w:hint="default" w:ascii="仿宋" w:hAnsi="仿宋" w:eastAsia="仿宋" w:cs="仿宋"/>
          <w:color w:val="000000"/>
          <w:spacing w:val="6"/>
          <w:sz w:val="32"/>
          <w:szCs w:val="32"/>
          <w:lang w:val="en-US" w:eastAsia="zh-CN"/>
        </w:rPr>
        <w:t>202</w:t>
      </w:r>
      <w:r>
        <w:rPr>
          <w:rFonts w:hint="eastAsia" w:ascii="仿宋" w:hAnsi="仿宋" w:eastAsia="仿宋" w:cs="仿宋"/>
          <w:color w:val="000000"/>
          <w:spacing w:val="6"/>
          <w:sz w:val="32"/>
          <w:szCs w:val="32"/>
          <w:lang w:val="en-US" w:eastAsia="zh-CN"/>
        </w:rPr>
        <w:t>5</w:t>
      </w:r>
      <w:r>
        <w:rPr>
          <w:rFonts w:hint="default" w:ascii="仿宋" w:hAnsi="仿宋" w:eastAsia="仿宋" w:cs="仿宋"/>
          <w:color w:val="000000"/>
          <w:spacing w:val="6"/>
          <w:sz w:val="32"/>
          <w:szCs w:val="32"/>
          <w:lang w:val="en-US" w:eastAsia="zh-CN"/>
        </w:rPr>
        <w:t>年3月18日由南阳市市场监督管理局组织召开</w:t>
      </w:r>
      <w:r>
        <w:rPr>
          <w:rFonts w:hint="eastAsia" w:ascii="仿宋" w:hAnsi="仿宋" w:eastAsia="仿宋" w:cs="仿宋"/>
          <w:color w:val="000000"/>
          <w:spacing w:val="6"/>
          <w:sz w:val="32"/>
          <w:szCs w:val="32"/>
          <w:lang w:val="en-US" w:eastAsia="zh-CN"/>
        </w:rPr>
        <w:t>文博系统</w:t>
      </w:r>
      <w:r>
        <w:rPr>
          <w:rFonts w:hint="default" w:ascii="仿宋" w:hAnsi="仿宋" w:eastAsia="仿宋" w:cs="仿宋"/>
          <w:color w:val="000000"/>
          <w:spacing w:val="6"/>
          <w:sz w:val="32"/>
          <w:szCs w:val="32"/>
          <w:lang w:val="en-US" w:eastAsia="zh-CN"/>
        </w:rPr>
        <w:t>地方标准立项会，</w:t>
      </w:r>
      <w:r>
        <w:rPr>
          <w:rFonts w:hint="eastAsia" w:ascii="仿宋" w:hAnsi="仿宋" w:eastAsia="仿宋" w:cs="仿宋"/>
          <w:color w:val="000000"/>
          <w:spacing w:val="6"/>
          <w:sz w:val="32"/>
          <w:szCs w:val="32"/>
          <w:lang w:val="en-US" w:eastAsia="zh-CN"/>
        </w:rPr>
        <w:t>标准制订小组7位专家领导对南阳市博物院起草的地方标准《文博场馆数字化应用规范》进行评审，并提出修改意见和建议，进行完善和提升，从而形成该标准草案。</w:t>
      </w:r>
    </w:p>
    <w:p w14:paraId="41CB1CF9">
      <w:pPr>
        <w:widowControl/>
        <w:spacing w:line="360" w:lineRule="auto"/>
        <w:ind w:firstLine="664" w:firstLineChars="200"/>
        <w:rPr>
          <w:rFonts w:hint="eastAsia" w:ascii="仿宋" w:hAnsi="仿宋" w:eastAsia="仿宋" w:cs="仿宋"/>
          <w:color w:val="000000"/>
          <w:spacing w:val="6"/>
          <w:sz w:val="32"/>
          <w:szCs w:val="32"/>
          <w:lang w:val="en-US" w:eastAsia="zh-CN"/>
        </w:rPr>
      </w:pPr>
      <w:r>
        <w:rPr>
          <w:rFonts w:hint="default" w:ascii="仿宋" w:hAnsi="仿宋" w:eastAsia="仿宋" w:cs="仿宋"/>
          <w:color w:val="000000"/>
          <w:spacing w:val="6"/>
          <w:sz w:val="32"/>
          <w:szCs w:val="32"/>
          <w:lang w:val="en-US" w:eastAsia="zh-CN"/>
        </w:rPr>
        <w:t>评审专家论证一致</w:t>
      </w:r>
      <w:r>
        <w:rPr>
          <w:rFonts w:hint="eastAsia" w:ascii="仿宋" w:hAnsi="仿宋" w:eastAsia="仿宋" w:cs="仿宋"/>
          <w:color w:val="000000"/>
          <w:spacing w:val="6"/>
          <w:sz w:val="32"/>
          <w:szCs w:val="32"/>
          <w:lang w:val="en-US" w:eastAsia="zh-CN"/>
        </w:rPr>
        <w:t>同意</w:t>
      </w:r>
      <w:r>
        <w:rPr>
          <w:rFonts w:hint="default" w:ascii="仿宋" w:hAnsi="仿宋" w:eastAsia="仿宋" w:cs="仿宋"/>
          <w:color w:val="000000"/>
          <w:spacing w:val="6"/>
          <w:sz w:val="32"/>
          <w:szCs w:val="32"/>
          <w:lang w:val="en-US" w:eastAsia="zh-CN"/>
        </w:rPr>
        <w:t>立项，</w:t>
      </w:r>
      <w:r>
        <w:rPr>
          <w:rFonts w:hint="eastAsia" w:ascii="仿宋_GB2312" w:hAnsi="Times New Roman" w:eastAsia="仿宋_GB2312" w:cs="Times New Roman"/>
          <w:kern w:val="0"/>
          <w:sz w:val="32"/>
          <w:szCs w:val="32"/>
          <w:lang w:val="en-US" w:eastAsia="zh-CN" w:bidi="ar-SA"/>
        </w:rPr>
        <w:t>2025年4月1日，南阳市市场监督管理局下发文件（“宛市监函”【2025】12号）《南阳市市场监督管理局关于下达2025年南阳市地方标准制定计划的通知》，《文博场馆数字化应用规范》立项编号为2025004。</w:t>
      </w:r>
    </w:p>
    <w:p w14:paraId="01EC6B82">
      <w:pPr>
        <w:keepNext w:val="0"/>
        <w:keepLines w:val="0"/>
        <w:pageBreakBefore w:val="0"/>
        <w:widowControl w:val="0"/>
        <w:numPr>
          <w:ilvl w:val="0"/>
          <w:numId w:val="1"/>
        </w:numPr>
        <w:kinsoku/>
        <w:wordWrap/>
        <w:overflowPunct/>
        <w:topLinePunct w:val="0"/>
        <w:autoSpaceDE/>
        <w:autoSpaceDN/>
        <w:bidi w:val="0"/>
        <w:adjustRightInd/>
        <w:spacing w:line="240" w:lineRule="auto"/>
        <w:ind w:firstLine="643" w:firstLineChars="200"/>
        <w:textAlignment w:val="auto"/>
        <w:rPr>
          <w:rFonts w:hint="eastAsia" w:ascii="仿宋_GB2312" w:hAnsi="Times New Roman" w:eastAsia="仿宋_GB2312" w:cs="Times New Roman"/>
          <w:b/>
          <w:bCs/>
          <w:kern w:val="0"/>
          <w:sz w:val="32"/>
          <w:szCs w:val="32"/>
          <w:lang w:val="en-US" w:eastAsia="zh-CN" w:bidi="ar-SA"/>
        </w:rPr>
      </w:pPr>
      <w:r>
        <w:rPr>
          <w:rFonts w:hint="eastAsia" w:ascii="仿宋_GB2312" w:hAnsi="Times New Roman" w:eastAsia="仿宋_GB2312" w:cs="Times New Roman"/>
          <w:b/>
          <w:bCs/>
          <w:kern w:val="0"/>
          <w:sz w:val="32"/>
          <w:szCs w:val="32"/>
          <w:lang w:val="en-US" w:eastAsia="zh-CN" w:bidi="ar-SA"/>
        </w:rPr>
        <w:t>编制原则</w:t>
      </w:r>
    </w:p>
    <w:p w14:paraId="00E9B813">
      <w:pPr>
        <w:widowControl/>
        <w:spacing w:line="360" w:lineRule="auto"/>
        <w:ind w:firstLine="640" w:firstLineChars="200"/>
        <w:rPr>
          <w:rFonts w:hint="default"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先进性：采用先进的信息技术和数字技术，满足新质生产力发展的需求；</w:t>
      </w:r>
    </w:p>
    <w:p w14:paraId="461B0809">
      <w:pPr>
        <w:widowControl/>
        <w:spacing w:line="360" w:lineRule="auto"/>
        <w:ind w:firstLine="640" w:firstLineChars="200"/>
        <w:rPr>
          <w:rFonts w:hint="eastAsia"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安全性：制定完善的应急方案，采取完备的数据保护和备份机制，具备容错和处理突发事件的能力，保证网络环境下数据的安全，防止病毒感染、非法入侵、恶意篡改毁坏，确保系统可靠运行；</w:t>
      </w:r>
    </w:p>
    <w:p w14:paraId="63CF4ABA">
      <w:pPr>
        <w:widowControl/>
        <w:spacing w:line="360" w:lineRule="auto"/>
        <w:ind w:firstLine="640" w:firstLineChars="200"/>
        <w:rPr>
          <w:rFonts w:hint="eastAsia"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开放性：提供各种层次、不同类型的接口，以实现硬件与硬件、硬件与软件、软件与软件之间兼容性等底层数据调用；</w:t>
      </w:r>
    </w:p>
    <w:p w14:paraId="48EECE3F">
      <w:pPr>
        <w:widowControl/>
        <w:spacing w:line="360" w:lineRule="auto"/>
        <w:ind w:firstLine="640" w:firstLineChars="200"/>
        <w:rPr>
          <w:rFonts w:hint="eastAsia" w:ascii="仿宋_GB2312" w:hAnsi="Times New Roman" w:eastAsia="仿宋_GB2312" w:cs="Times New Roman"/>
          <w:b/>
          <w:bCs/>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实用性：</w:t>
      </w:r>
      <w:r>
        <w:rPr>
          <w:rFonts w:hint="default" w:ascii="仿宋_GB2312" w:hAnsi="Times New Roman" w:eastAsia="仿宋_GB2312" w:cs="Times New Roman"/>
          <w:kern w:val="0"/>
          <w:sz w:val="32"/>
          <w:szCs w:val="32"/>
          <w:lang w:val="en-US" w:eastAsia="zh-CN" w:bidi="ar-SA"/>
        </w:rPr>
        <w:t>系统设计应结合实际，易于操作，便于信息查询及辅助决策支持。</w:t>
      </w:r>
    </w:p>
    <w:p w14:paraId="43C0E51F">
      <w:pPr>
        <w:keepNext w:val="0"/>
        <w:keepLines w:val="0"/>
        <w:pageBreakBefore w:val="0"/>
        <w:widowControl w:val="0"/>
        <w:numPr>
          <w:ilvl w:val="0"/>
          <w:numId w:val="1"/>
        </w:numPr>
        <w:kinsoku/>
        <w:wordWrap/>
        <w:overflowPunct/>
        <w:topLinePunct w:val="0"/>
        <w:autoSpaceDE/>
        <w:autoSpaceDN/>
        <w:bidi w:val="0"/>
        <w:adjustRightInd/>
        <w:spacing w:line="240" w:lineRule="auto"/>
        <w:ind w:left="0" w:leftChars="0" w:firstLine="643" w:firstLineChars="200"/>
        <w:textAlignment w:val="auto"/>
        <w:rPr>
          <w:rFonts w:hint="eastAsia" w:ascii="仿宋_GB2312" w:hAnsi="Times New Roman" w:eastAsia="仿宋_GB2312" w:cs="Times New Roman"/>
          <w:b/>
          <w:bCs/>
          <w:kern w:val="0"/>
          <w:sz w:val="32"/>
          <w:szCs w:val="32"/>
          <w:lang w:val="en-US" w:eastAsia="zh-CN" w:bidi="ar-SA"/>
        </w:rPr>
      </w:pPr>
      <w:r>
        <w:rPr>
          <w:rFonts w:hint="eastAsia" w:ascii="仿宋_GB2312" w:hAnsi="Times New Roman" w:eastAsia="仿宋_GB2312" w:cs="Times New Roman"/>
          <w:b/>
          <w:bCs/>
          <w:kern w:val="0"/>
          <w:sz w:val="32"/>
          <w:szCs w:val="32"/>
          <w:lang w:val="en-US" w:eastAsia="zh-CN" w:bidi="ar-SA"/>
        </w:rPr>
        <w:t>依据</w:t>
      </w:r>
    </w:p>
    <w:p w14:paraId="78455744">
      <w:pPr>
        <w:keepNext w:val="0"/>
        <w:keepLines w:val="0"/>
        <w:pageBreakBefore w:val="0"/>
        <w:widowControl w:val="0"/>
        <w:numPr>
          <w:ilvl w:val="0"/>
          <w:numId w:val="0"/>
        </w:numPr>
        <w:kinsoku/>
        <w:wordWrap/>
        <w:overflowPunct/>
        <w:topLinePunct w:val="0"/>
        <w:autoSpaceDE/>
        <w:autoSpaceDN/>
        <w:bidi w:val="0"/>
        <w:adjustRightInd/>
        <w:spacing w:line="240" w:lineRule="auto"/>
        <w:ind w:firstLine="640" w:firstLineChars="200"/>
        <w:textAlignment w:val="auto"/>
        <w:rPr>
          <w:rFonts w:hint="default" w:ascii="仿宋_GB2312" w:hAnsi="Times New Roman" w:eastAsia="仿宋_GB2312" w:cs="Times New Roman"/>
          <w:b/>
          <w:bCs/>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该标准主要依据《“十四五”文物保护和科技创新规划》《关于推进实施国家文化数字化战略的意见》《关于推进博物馆改革发展的指导意见》《国家文化大数据标准体系》及GB/T 16571-2012博物馆和文物保护单位安全防范系统要求、GB/T 22239-2019 信息安全技术网络安全等级保护基本要求、GB/T 36344 信息技术数据质量评价指标、GB 50174-2017 数据中心设计规范、JGJ 66-2015 博物馆建筑设计规范。</w:t>
      </w:r>
    </w:p>
    <w:p w14:paraId="518330E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DFDFE"/>
        <w:spacing w:before="0" w:beforeAutospacing="0" w:after="0" w:afterAutospacing="0" w:line="26" w:lineRule="atLeast"/>
        <w:ind w:right="0" w:firstLine="640" w:firstLineChars="200"/>
        <w:rPr>
          <w:rFonts w:hint="eastAsia" w:ascii="仿宋_GB2312" w:hAnsi="Times New Roman" w:eastAsia="仿宋_GB2312" w:cs="Times New Roman"/>
          <w:kern w:val="0"/>
          <w:sz w:val="32"/>
          <w:szCs w:val="32"/>
          <w:lang w:val="en-US" w:eastAsia="zh-CN" w:bidi="ar-SA"/>
        </w:rPr>
      </w:pPr>
      <w:r>
        <w:rPr>
          <w:rFonts w:hint="eastAsia" w:ascii="黑体" w:hAnsi="黑体" w:eastAsia="黑体" w:cs="黑体"/>
          <w:color w:val="000000" w:themeColor="text1"/>
          <w:kern w:val="2"/>
          <w:sz w:val="32"/>
          <w:szCs w:val="24"/>
          <w:lang w:val="en-US" w:eastAsia="zh-CN" w:bidi="ar-SA"/>
          <w14:textFill>
            <w14:solidFill>
              <w14:schemeClr w14:val="tx1"/>
            </w14:solidFill>
          </w14:textFill>
        </w:rPr>
        <w:t>三、编制过程</w:t>
      </w:r>
    </w:p>
    <w:p w14:paraId="20C15F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DFDFE"/>
        <w:spacing w:before="0" w:beforeAutospacing="0" w:after="0" w:afterAutospacing="0" w:line="26" w:lineRule="atLeast"/>
        <w:ind w:right="0" w:firstLine="640" w:firstLineChars="200"/>
        <w:rPr>
          <w:rFonts w:hint="eastAsia"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南阳市博物院高度重视此项工作，成立《文博场馆数字化应用规范》地方标准领导小组，该标准技术归口单位、行政主管部门为南阳市文化广电和旅游局，起草单位为南阳市博物院，李远为负责人，韩梅、郭靖、王永波、田钰新、吴景蕊、姚军、吕亚梅、房凌云等参与。牛宏成院长要求该标准制定小组成员，一定要高标准、严要求制定该地方标准，并能切实指导今后南阳文博场馆数字化应用工作；副院长黄迎光带领相关成员，</w:t>
      </w:r>
      <w:r>
        <w:rPr>
          <w:rFonts w:hint="default" w:ascii="仿宋" w:hAnsi="仿宋" w:eastAsia="仿宋" w:cs="仿宋"/>
          <w:color w:val="000000"/>
          <w:spacing w:val="6"/>
          <w:sz w:val="32"/>
          <w:szCs w:val="32"/>
          <w:lang w:val="en-US" w:eastAsia="zh-CN"/>
        </w:rPr>
        <w:t>在前期</w:t>
      </w:r>
      <w:r>
        <w:rPr>
          <w:rFonts w:hint="eastAsia" w:ascii="仿宋" w:hAnsi="仿宋" w:eastAsia="仿宋" w:cs="仿宋"/>
          <w:color w:val="000000"/>
          <w:spacing w:val="6"/>
          <w:sz w:val="32"/>
          <w:szCs w:val="32"/>
          <w:lang w:val="en-US" w:eastAsia="zh-CN"/>
        </w:rPr>
        <w:t>实地调查研究</w:t>
      </w:r>
      <w:r>
        <w:rPr>
          <w:rFonts w:hint="default" w:ascii="仿宋" w:hAnsi="仿宋" w:eastAsia="仿宋" w:cs="仿宋"/>
          <w:color w:val="000000"/>
          <w:spacing w:val="6"/>
          <w:sz w:val="32"/>
          <w:szCs w:val="32"/>
          <w:lang w:val="en-US" w:eastAsia="zh-CN"/>
        </w:rPr>
        <w:t>基础上，</w:t>
      </w:r>
      <w:r>
        <w:rPr>
          <w:rFonts w:hint="eastAsia" w:ascii="仿宋_GB2312" w:hAnsi="Times New Roman" w:eastAsia="仿宋_GB2312" w:cs="Times New Roman"/>
          <w:kern w:val="0"/>
          <w:sz w:val="32"/>
          <w:szCs w:val="32"/>
          <w:lang w:val="en-US" w:eastAsia="zh-CN" w:bidi="ar-SA"/>
        </w:rPr>
        <w:t>结合南阳市博物院数字化建设工作经验，吸收省内外文博场馆数字化应用工作成功经验</w:t>
      </w:r>
      <w:r>
        <w:rPr>
          <w:rFonts w:hint="default" w:ascii="仿宋" w:hAnsi="仿宋" w:eastAsia="仿宋" w:cs="仿宋"/>
          <w:color w:val="000000"/>
          <w:spacing w:val="6"/>
          <w:sz w:val="32"/>
          <w:szCs w:val="32"/>
          <w:lang w:val="en-US" w:eastAsia="zh-CN"/>
        </w:rPr>
        <w:t>，收集、</w:t>
      </w:r>
      <w:r>
        <w:rPr>
          <w:rFonts w:hint="eastAsia" w:ascii="仿宋" w:hAnsi="仿宋" w:eastAsia="仿宋" w:cs="仿宋"/>
          <w:color w:val="000000"/>
          <w:spacing w:val="6"/>
          <w:sz w:val="32"/>
          <w:szCs w:val="32"/>
          <w:lang w:val="en-US" w:eastAsia="zh-CN"/>
        </w:rPr>
        <w:t>学习、</w:t>
      </w:r>
      <w:r>
        <w:rPr>
          <w:rFonts w:hint="default" w:ascii="仿宋" w:hAnsi="仿宋" w:eastAsia="仿宋" w:cs="仿宋"/>
          <w:color w:val="000000"/>
          <w:spacing w:val="6"/>
          <w:sz w:val="32"/>
          <w:szCs w:val="32"/>
          <w:lang w:val="en-US" w:eastAsia="zh-CN"/>
        </w:rPr>
        <w:t>研究相关国家</w:t>
      </w:r>
      <w:r>
        <w:rPr>
          <w:rFonts w:hint="eastAsia" w:ascii="仿宋" w:hAnsi="仿宋" w:eastAsia="仿宋" w:cs="仿宋"/>
          <w:color w:val="000000"/>
          <w:spacing w:val="6"/>
          <w:sz w:val="32"/>
          <w:szCs w:val="32"/>
          <w:lang w:val="en-US" w:eastAsia="zh-CN"/>
        </w:rPr>
        <w:t>及</w:t>
      </w:r>
      <w:r>
        <w:rPr>
          <w:rFonts w:hint="default" w:ascii="仿宋" w:hAnsi="仿宋" w:eastAsia="仿宋" w:cs="仿宋"/>
          <w:color w:val="000000"/>
          <w:spacing w:val="6"/>
          <w:sz w:val="32"/>
          <w:szCs w:val="32"/>
          <w:lang w:val="en-US" w:eastAsia="zh-CN"/>
        </w:rPr>
        <w:t>行业标准，查阅相关文献资料，经过</w:t>
      </w:r>
      <w:r>
        <w:rPr>
          <w:rFonts w:hint="eastAsia" w:ascii="仿宋" w:hAnsi="仿宋" w:eastAsia="仿宋" w:cs="仿宋"/>
          <w:color w:val="000000"/>
          <w:spacing w:val="6"/>
          <w:sz w:val="32"/>
          <w:szCs w:val="32"/>
          <w:lang w:val="en-US" w:eastAsia="zh-CN"/>
        </w:rPr>
        <w:t>反复</w:t>
      </w:r>
      <w:r>
        <w:rPr>
          <w:rFonts w:hint="default" w:ascii="仿宋" w:hAnsi="仿宋" w:eastAsia="仿宋" w:cs="仿宋"/>
          <w:color w:val="000000"/>
          <w:spacing w:val="6"/>
          <w:sz w:val="32"/>
          <w:szCs w:val="32"/>
          <w:lang w:val="en-US" w:eastAsia="zh-CN"/>
        </w:rPr>
        <w:t>讨论修改，202</w:t>
      </w:r>
      <w:r>
        <w:rPr>
          <w:rFonts w:hint="eastAsia" w:ascii="仿宋" w:hAnsi="仿宋" w:eastAsia="仿宋" w:cs="仿宋"/>
          <w:color w:val="000000"/>
          <w:spacing w:val="6"/>
          <w:sz w:val="32"/>
          <w:szCs w:val="32"/>
          <w:lang w:val="en-US" w:eastAsia="zh-CN"/>
        </w:rPr>
        <w:t>5</w:t>
      </w:r>
      <w:r>
        <w:rPr>
          <w:rFonts w:hint="default" w:ascii="仿宋" w:hAnsi="仿宋" w:eastAsia="仿宋" w:cs="仿宋"/>
          <w:color w:val="000000"/>
          <w:spacing w:val="6"/>
          <w:sz w:val="32"/>
          <w:szCs w:val="32"/>
          <w:lang w:val="en-US" w:eastAsia="zh-CN"/>
        </w:rPr>
        <w:t>年6月编制出</w:t>
      </w:r>
      <w:r>
        <w:rPr>
          <w:rFonts w:hint="eastAsia" w:ascii="仿宋" w:hAnsi="仿宋" w:eastAsia="仿宋" w:cs="仿宋"/>
          <w:color w:val="000000"/>
          <w:spacing w:val="6"/>
          <w:sz w:val="32"/>
          <w:szCs w:val="32"/>
          <w:lang w:val="en-US" w:eastAsia="zh-CN"/>
        </w:rPr>
        <w:t>南阳市地方标准</w:t>
      </w:r>
      <w:r>
        <w:rPr>
          <w:rFonts w:hint="eastAsia" w:ascii="仿宋_GB2312" w:hAnsi="Times New Roman" w:eastAsia="仿宋_GB2312" w:cs="Times New Roman"/>
          <w:kern w:val="0"/>
          <w:sz w:val="32"/>
          <w:szCs w:val="32"/>
          <w:lang w:val="en-US" w:eastAsia="zh-CN" w:bidi="ar-SA"/>
        </w:rPr>
        <w:t>《文博场馆数字化应用规范》</w:t>
      </w:r>
      <w:r>
        <w:rPr>
          <w:rFonts w:hint="default" w:ascii="仿宋" w:hAnsi="仿宋" w:eastAsia="仿宋" w:cs="仿宋"/>
          <w:color w:val="000000"/>
          <w:spacing w:val="6"/>
          <w:sz w:val="32"/>
          <w:szCs w:val="32"/>
          <w:lang w:val="en-US" w:eastAsia="zh-CN"/>
        </w:rPr>
        <w:t>征求意见稿。</w:t>
      </w:r>
    </w:p>
    <w:p w14:paraId="19D0FB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DFDFE"/>
        <w:spacing w:before="0" w:beforeAutospacing="0" w:after="0" w:afterAutospacing="0" w:line="26" w:lineRule="atLeast"/>
        <w:ind w:right="0" w:firstLine="640" w:firstLineChars="200"/>
        <w:rPr>
          <w:rFonts w:hint="eastAsia" w:ascii="黑体" w:hAnsi="黑体" w:eastAsia="黑体" w:cs="黑体"/>
          <w:color w:val="000000" w:themeColor="text1"/>
          <w:kern w:val="2"/>
          <w:sz w:val="32"/>
          <w:szCs w:val="24"/>
          <w:lang w:val="en-US" w:eastAsia="zh-CN" w:bidi="ar-SA"/>
          <w14:textFill>
            <w14:solidFill>
              <w14:schemeClr w14:val="tx1"/>
            </w14:solidFill>
          </w14:textFill>
        </w:rPr>
      </w:pPr>
      <w:r>
        <w:rPr>
          <w:rFonts w:hint="eastAsia" w:ascii="黑体" w:hAnsi="黑体" w:eastAsia="黑体" w:cs="黑体"/>
          <w:color w:val="000000" w:themeColor="text1"/>
          <w:kern w:val="2"/>
          <w:sz w:val="32"/>
          <w:szCs w:val="24"/>
          <w:lang w:val="en-US" w:eastAsia="zh-CN" w:bidi="ar-SA"/>
          <w14:textFill>
            <w14:solidFill>
              <w14:schemeClr w14:val="tx1"/>
            </w14:solidFill>
          </w14:textFill>
        </w:rPr>
        <w:t>四、主要内容的确定(包括重大分歧意见的处理）</w:t>
      </w:r>
    </w:p>
    <w:p w14:paraId="5FE9AA4B">
      <w:pPr>
        <w:keepNext w:val="0"/>
        <w:keepLines w:val="0"/>
        <w:pageBreakBefore w:val="0"/>
        <w:widowControl w:val="0"/>
        <w:kinsoku/>
        <w:wordWrap/>
        <w:overflowPunct/>
        <w:topLinePunct w:val="0"/>
        <w:autoSpaceDE/>
        <w:autoSpaceDN/>
        <w:bidi w:val="0"/>
        <w:spacing w:line="240" w:lineRule="auto"/>
        <w:ind w:firstLine="640" w:firstLineChars="200"/>
        <w:textAlignment w:val="auto"/>
        <w:rPr>
          <w:rFonts w:hint="eastAsia" w:eastAsia="仿宋"/>
          <w:color w:val="000000" w:themeColor="text1"/>
          <w:sz w:val="32"/>
          <w:szCs w:val="24"/>
          <w14:textFill>
            <w14:solidFill>
              <w14:schemeClr w14:val="tx1"/>
            </w14:solidFill>
          </w14:textFill>
        </w:rPr>
      </w:pPr>
      <w:r>
        <w:rPr>
          <w:rFonts w:hint="eastAsia" w:ascii="仿宋_GB2312" w:hAnsi="Times New Roman" w:eastAsia="仿宋_GB2312" w:cs="Times New Roman"/>
          <w:kern w:val="0"/>
          <w:sz w:val="32"/>
          <w:szCs w:val="32"/>
          <w:lang w:val="en-US" w:eastAsia="zh-CN" w:bidi="ar-SA"/>
        </w:rPr>
        <w:t>南阳市博物院《文博场馆数字化应用规范》标准制订小组，立足</w:t>
      </w:r>
      <w:r>
        <w:rPr>
          <w:rFonts w:hint="eastAsia" w:eastAsia="仿宋"/>
          <w:color w:val="000000" w:themeColor="text1"/>
          <w:sz w:val="32"/>
          <w:szCs w:val="24"/>
          <w14:textFill>
            <w14:solidFill>
              <w14:schemeClr w14:val="tx1"/>
            </w14:solidFill>
          </w14:textFill>
        </w:rPr>
        <w:t>南阳市博物</w:t>
      </w:r>
      <w:r>
        <w:rPr>
          <w:rFonts w:hint="eastAsia" w:eastAsia="仿宋"/>
          <w:color w:val="000000" w:themeColor="text1"/>
          <w:sz w:val="32"/>
          <w:szCs w:val="24"/>
          <w:lang w:val="en-US" w:eastAsia="zh-CN"/>
          <w14:textFill>
            <w14:solidFill>
              <w14:schemeClr w14:val="tx1"/>
            </w14:solidFill>
          </w14:textFill>
        </w:rPr>
        <w:t>院</w:t>
      </w:r>
      <w:r>
        <w:rPr>
          <w:rFonts w:hint="eastAsia" w:eastAsia="仿宋"/>
          <w:color w:val="000000" w:themeColor="text1"/>
          <w:sz w:val="32"/>
          <w:szCs w:val="24"/>
          <w:lang w:eastAsia="zh-CN"/>
          <w14:textFill>
            <w14:solidFill>
              <w14:schemeClr w14:val="tx1"/>
            </w14:solidFill>
          </w14:textFill>
        </w:rPr>
        <w:t>、张衡博物馆、南阳知府衙门博物馆</w:t>
      </w:r>
      <w:r>
        <w:rPr>
          <w:rFonts w:hint="eastAsia" w:eastAsia="仿宋"/>
          <w:color w:val="000000" w:themeColor="text1"/>
          <w:sz w:val="32"/>
          <w:szCs w:val="24"/>
          <w:lang w:val="en-US" w:eastAsia="zh-CN"/>
          <w14:textFill>
            <w14:solidFill>
              <w14:schemeClr w14:val="tx1"/>
            </w14:solidFill>
          </w14:textFill>
        </w:rPr>
        <w:t>数字化项目，借鉴</w:t>
      </w:r>
      <w:r>
        <w:rPr>
          <w:rFonts w:hint="eastAsia" w:eastAsia="仿宋"/>
          <w:color w:val="000000" w:themeColor="text1"/>
          <w:sz w:val="32"/>
          <w:szCs w:val="24"/>
          <w:lang w:eastAsia="zh-CN"/>
          <w14:textFill>
            <w14:solidFill>
              <w14:schemeClr w14:val="tx1"/>
            </w14:solidFill>
          </w14:textFill>
        </w:rPr>
        <w:t>南阳市汉画馆、南阳武侯祠博物馆、医圣祠博物馆</w:t>
      </w:r>
      <w:r>
        <w:rPr>
          <w:rFonts w:hint="eastAsia" w:eastAsia="仿宋"/>
          <w:color w:val="000000" w:themeColor="text1"/>
          <w:sz w:val="32"/>
          <w:szCs w:val="24"/>
          <w14:textFill>
            <w14:solidFill>
              <w14:schemeClr w14:val="tx1"/>
            </w14:solidFill>
          </w14:textFill>
        </w:rPr>
        <w:t>等文博</w:t>
      </w:r>
      <w:r>
        <w:rPr>
          <w:rFonts w:hint="eastAsia" w:eastAsia="仿宋"/>
          <w:color w:val="000000" w:themeColor="text1"/>
          <w:sz w:val="32"/>
          <w:szCs w:val="24"/>
          <w:lang w:eastAsia="zh-CN"/>
          <w14:textFill>
            <w14:solidFill>
              <w14:schemeClr w14:val="tx1"/>
            </w14:solidFill>
          </w14:textFill>
        </w:rPr>
        <w:t>系统及文博</w:t>
      </w:r>
      <w:r>
        <w:rPr>
          <w:rFonts w:hint="eastAsia" w:eastAsia="仿宋"/>
          <w:color w:val="000000" w:themeColor="text1"/>
          <w:sz w:val="32"/>
          <w:szCs w:val="24"/>
          <w14:textFill>
            <w14:solidFill>
              <w14:schemeClr w14:val="tx1"/>
            </w14:solidFill>
          </w14:textFill>
        </w:rPr>
        <w:t>景区</w:t>
      </w:r>
      <w:r>
        <w:rPr>
          <w:rFonts w:hint="eastAsia" w:eastAsia="仿宋"/>
          <w:color w:val="000000" w:themeColor="text1"/>
          <w:sz w:val="32"/>
          <w:szCs w:val="24"/>
          <w:lang w:val="en-US" w:eastAsia="zh-CN"/>
          <w14:textFill>
            <w14:solidFill>
              <w14:schemeClr w14:val="tx1"/>
            </w14:solidFill>
          </w14:textFill>
        </w:rPr>
        <w:t>数字化应用</w:t>
      </w:r>
      <w:r>
        <w:rPr>
          <w:rFonts w:hint="eastAsia" w:eastAsia="仿宋"/>
          <w:color w:val="000000" w:themeColor="text1"/>
          <w:sz w:val="32"/>
          <w:szCs w:val="24"/>
          <w14:textFill>
            <w14:solidFill>
              <w14:schemeClr w14:val="tx1"/>
            </w14:solidFill>
          </w14:textFill>
        </w:rPr>
        <w:t>经验和成绩，并</w:t>
      </w:r>
      <w:r>
        <w:rPr>
          <w:rFonts w:hint="eastAsia" w:eastAsia="仿宋"/>
          <w:color w:val="000000" w:themeColor="text1"/>
          <w:sz w:val="32"/>
          <w:szCs w:val="24"/>
          <w:lang w:val="en-US" w:eastAsia="zh-CN"/>
          <w14:textFill>
            <w14:solidFill>
              <w14:schemeClr w14:val="tx1"/>
            </w14:solidFill>
          </w14:textFill>
        </w:rPr>
        <w:t>对王晓杰、牛宏成、黄迎光、包明军、李冬生、陶亮、许保仓</w:t>
      </w:r>
      <w:r>
        <w:rPr>
          <w:rFonts w:hint="eastAsia" w:ascii="仿宋_GB2312" w:hAnsi="Times New Roman" w:eastAsia="仿宋_GB2312" w:cs="Times New Roman"/>
          <w:kern w:val="0"/>
          <w:sz w:val="32"/>
          <w:szCs w:val="32"/>
          <w:lang w:val="en-US" w:eastAsia="zh-CN" w:bidi="ar-SA"/>
        </w:rPr>
        <w:t>专家们提出的细节性修改意见，予以完善和补充</w:t>
      </w:r>
      <w:r>
        <w:rPr>
          <w:rFonts w:hint="eastAsia" w:ascii="仿宋_GB2312" w:hAnsi="仿宋_GB2312" w:eastAsia="仿宋_GB2312" w:cs="仿宋_GB2312"/>
          <w:kern w:val="0"/>
          <w:sz w:val="32"/>
          <w:szCs w:val="32"/>
          <w:lang w:val="en-US" w:eastAsia="zh-CN" w:bidi="ar-SA"/>
        </w:rPr>
        <w:t>。</w:t>
      </w:r>
      <w:r>
        <w:rPr>
          <w:rFonts w:hint="eastAsia" w:eastAsia="仿宋"/>
          <w:color w:val="000000" w:themeColor="text1"/>
          <w:sz w:val="32"/>
          <w:szCs w:val="24"/>
          <w14:textFill>
            <w14:solidFill>
              <w14:schemeClr w14:val="tx1"/>
            </w14:solidFill>
          </w14:textFill>
        </w:rPr>
        <w:t>该标准草案</w:t>
      </w:r>
      <w:r>
        <w:rPr>
          <w:rFonts w:hint="eastAsia" w:ascii="仿宋_GB2312" w:hAnsi="Times New Roman" w:eastAsia="仿宋_GB2312" w:cs="Times New Roman"/>
          <w:kern w:val="0"/>
          <w:sz w:val="32"/>
          <w:szCs w:val="32"/>
          <w:lang w:val="en-US" w:eastAsia="zh-CN" w:bidi="ar-SA"/>
        </w:rPr>
        <w:t>从数字化项目建设基本原则、数字化项目基础设施、数字化管理、数字化服务、数字化展览、数字化社教、大数据分析系统、数字化项目信息安全、数字化创新应用等方面</w:t>
      </w:r>
      <w:r>
        <w:rPr>
          <w:rFonts w:hint="eastAsia" w:eastAsia="仿宋"/>
          <w:color w:val="000000" w:themeColor="text1"/>
          <w:sz w:val="32"/>
          <w:szCs w:val="24"/>
          <w14:textFill>
            <w14:solidFill>
              <w14:schemeClr w14:val="tx1"/>
            </w14:solidFill>
          </w14:textFill>
        </w:rPr>
        <w:t>提出</w:t>
      </w:r>
      <w:r>
        <w:rPr>
          <w:rFonts w:hint="eastAsia" w:eastAsia="仿宋"/>
          <w:color w:val="000000" w:themeColor="text1"/>
          <w:sz w:val="32"/>
          <w:szCs w:val="24"/>
          <w:lang w:eastAsia="zh-CN"/>
          <w14:textFill>
            <w14:solidFill>
              <w14:schemeClr w14:val="tx1"/>
            </w14:solidFill>
          </w14:textFill>
        </w:rPr>
        <w:t>南阳文博系统</w:t>
      </w:r>
      <w:r>
        <w:rPr>
          <w:rFonts w:hint="eastAsia" w:eastAsia="仿宋"/>
          <w:color w:val="000000" w:themeColor="text1"/>
          <w:sz w:val="32"/>
          <w:szCs w:val="24"/>
          <w:lang w:val="en-US" w:eastAsia="zh-CN"/>
          <w14:textFill>
            <w14:solidFill>
              <w14:schemeClr w14:val="tx1"/>
            </w14:solidFill>
          </w14:textFill>
        </w:rPr>
        <w:t>数字化应用</w:t>
      </w:r>
      <w:r>
        <w:rPr>
          <w:rFonts w:hint="eastAsia" w:eastAsia="仿宋"/>
          <w:color w:val="000000" w:themeColor="text1"/>
          <w:sz w:val="32"/>
          <w:szCs w:val="24"/>
          <w14:textFill>
            <w14:solidFill>
              <w14:schemeClr w14:val="tx1"/>
            </w14:solidFill>
          </w14:textFill>
        </w:rPr>
        <w:t>的具体要求。</w:t>
      </w:r>
    </w:p>
    <w:p w14:paraId="06B6B9B2">
      <w:pPr>
        <w:snapToGrid w:val="0"/>
        <w:spacing w:line="460" w:lineRule="exact"/>
        <w:ind w:firstLine="627" w:firstLineChars="196"/>
        <w:rPr>
          <w:rFonts w:hint="default" w:ascii="Times New Roman" w:hAnsi="Times New Roman" w:eastAsia="黑体" w:cs="Times New Roman"/>
          <w:kern w:val="0"/>
          <w:sz w:val="32"/>
          <w:szCs w:val="32"/>
          <w:lang w:val="en-US" w:eastAsia="zh-CN"/>
        </w:rPr>
      </w:pPr>
      <w:r>
        <w:rPr>
          <w:rFonts w:hint="default" w:ascii="Times New Roman" w:hAnsi="Times New Roman" w:eastAsia="黑体" w:cs="Times New Roman"/>
          <w:kern w:val="0"/>
          <w:sz w:val="32"/>
          <w:szCs w:val="32"/>
          <w:lang w:val="en-US" w:eastAsia="zh-CN"/>
        </w:rPr>
        <w:t>五、</w:t>
      </w:r>
      <w:r>
        <w:rPr>
          <w:rFonts w:hint="eastAsia" w:ascii="Times New Roman" w:hAnsi="Times New Roman" w:eastAsia="黑体" w:cs="Times New Roman"/>
          <w:kern w:val="0"/>
          <w:sz w:val="32"/>
          <w:szCs w:val="32"/>
          <w:lang w:val="en-US" w:eastAsia="zh-CN"/>
        </w:rPr>
        <w:t>采</w:t>
      </w:r>
      <w:r>
        <w:rPr>
          <w:rFonts w:hint="default" w:ascii="Times New Roman" w:hAnsi="Times New Roman" w:eastAsia="黑体" w:cs="Times New Roman"/>
          <w:kern w:val="0"/>
          <w:sz w:val="32"/>
          <w:szCs w:val="32"/>
          <w:lang w:val="en-US" w:eastAsia="zh-CN"/>
        </w:rPr>
        <w:t>标情况</w:t>
      </w:r>
    </w:p>
    <w:p w14:paraId="27F6D189">
      <w:pPr>
        <w:keepNext w:val="0"/>
        <w:keepLines w:val="0"/>
        <w:pageBreakBefore w:val="0"/>
        <w:widowControl w:val="0"/>
        <w:kinsoku/>
        <w:wordWrap/>
        <w:overflowPunct/>
        <w:topLinePunct w:val="0"/>
        <w:autoSpaceDE/>
        <w:autoSpaceDN/>
        <w:bidi w:val="0"/>
        <w:spacing w:line="240" w:lineRule="auto"/>
        <w:ind w:firstLine="664" w:firstLineChars="200"/>
        <w:textAlignment w:val="auto"/>
        <w:rPr>
          <w:rFonts w:hint="default" w:ascii="仿宋" w:hAnsi="仿宋" w:eastAsia="仿宋" w:cs="仿宋"/>
          <w:color w:val="000000"/>
          <w:spacing w:val="6"/>
          <w:sz w:val="32"/>
          <w:szCs w:val="32"/>
          <w:lang w:val="en-US" w:eastAsia="zh-CN"/>
        </w:rPr>
      </w:pPr>
      <w:r>
        <w:rPr>
          <w:rFonts w:hint="default" w:ascii="仿宋" w:hAnsi="仿宋" w:eastAsia="仿宋" w:cs="仿宋"/>
          <w:color w:val="000000"/>
          <w:spacing w:val="6"/>
          <w:sz w:val="32"/>
          <w:szCs w:val="32"/>
          <w:lang w:val="en-US" w:eastAsia="zh-CN"/>
        </w:rPr>
        <w:t>无采用国际标准和国外先进标准。</w:t>
      </w:r>
    </w:p>
    <w:p w14:paraId="52FA751F">
      <w:pPr>
        <w:snapToGrid w:val="0"/>
        <w:spacing w:line="460" w:lineRule="exact"/>
        <w:ind w:firstLine="627" w:firstLineChars="196"/>
        <w:rPr>
          <w:rFonts w:hint="default" w:ascii="Times New Roman" w:hAnsi="Times New Roman" w:eastAsia="黑体" w:cs="Times New Roman"/>
          <w:kern w:val="0"/>
          <w:sz w:val="32"/>
          <w:szCs w:val="32"/>
          <w:lang w:val="en-US" w:eastAsia="zh-CN"/>
        </w:rPr>
      </w:pPr>
      <w:r>
        <w:rPr>
          <w:rFonts w:hint="default" w:ascii="Times New Roman" w:hAnsi="Times New Roman" w:eastAsia="黑体" w:cs="Times New Roman"/>
          <w:kern w:val="0"/>
          <w:sz w:val="32"/>
          <w:szCs w:val="32"/>
          <w:lang w:val="en-US" w:eastAsia="zh-CN"/>
        </w:rPr>
        <w:t>六、重大意见分歧的处理</w:t>
      </w:r>
    </w:p>
    <w:p w14:paraId="27ADFBA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DFDFE"/>
        <w:spacing w:before="0" w:beforeAutospacing="0" w:after="0" w:afterAutospacing="0" w:line="26" w:lineRule="atLeast"/>
        <w:ind w:right="0" w:firstLine="664" w:firstLineChars="200"/>
        <w:rPr>
          <w:rFonts w:hint="default" w:ascii="仿宋" w:hAnsi="仿宋" w:eastAsia="仿宋" w:cs="仿宋"/>
          <w:color w:val="000000"/>
          <w:spacing w:val="6"/>
          <w:sz w:val="32"/>
          <w:szCs w:val="32"/>
          <w:lang w:val="en-US" w:eastAsia="zh-CN"/>
        </w:rPr>
      </w:pPr>
      <w:r>
        <w:rPr>
          <w:rFonts w:hint="default" w:ascii="仿宋" w:hAnsi="仿宋" w:eastAsia="仿宋" w:cs="仿宋"/>
          <w:color w:val="000000"/>
          <w:spacing w:val="6"/>
          <w:sz w:val="32"/>
          <w:szCs w:val="32"/>
          <w:lang w:val="en-US" w:eastAsia="zh-CN"/>
        </w:rPr>
        <w:t>本标准在编写过程中无重大意见分歧。</w:t>
      </w:r>
    </w:p>
    <w:p w14:paraId="0BAA8C61">
      <w:pPr>
        <w:snapToGrid w:val="0"/>
        <w:spacing w:line="460" w:lineRule="exact"/>
        <w:ind w:firstLine="627" w:firstLineChars="196"/>
        <w:rPr>
          <w:rFonts w:hint="default" w:ascii="Times New Roman" w:hAnsi="Times New Roman" w:eastAsia="黑体" w:cs="Times New Roman"/>
          <w:kern w:val="0"/>
          <w:sz w:val="32"/>
          <w:szCs w:val="32"/>
          <w:lang w:val="en-US" w:eastAsia="zh-CN"/>
        </w:rPr>
      </w:pPr>
      <w:r>
        <w:rPr>
          <w:rFonts w:hint="default" w:ascii="Times New Roman" w:hAnsi="Times New Roman" w:eastAsia="黑体" w:cs="Times New Roman"/>
          <w:kern w:val="0"/>
          <w:sz w:val="32"/>
          <w:szCs w:val="32"/>
          <w:lang w:val="en-US" w:eastAsia="zh-CN"/>
        </w:rPr>
        <w:t>七、与国家法律法规和强制性标准的关系</w:t>
      </w:r>
    </w:p>
    <w:p w14:paraId="2408B338">
      <w:pPr>
        <w:keepNext w:val="0"/>
        <w:keepLines w:val="0"/>
        <w:pageBreakBefore w:val="0"/>
        <w:widowControl w:val="0"/>
        <w:kinsoku/>
        <w:wordWrap/>
        <w:overflowPunct/>
        <w:topLinePunct w:val="0"/>
        <w:autoSpaceDE/>
        <w:autoSpaceDN/>
        <w:bidi w:val="0"/>
        <w:adjustRightInd/>
        <w:spacing w:line="240" w:lineRule="auto"/>
        <w:ind w:firstLine="664" w:firstLineChars="200"/>
        <w:textAlignment w:val="auto"/>
        <w:rPr>
          <w:rFonts w:hint="default" w:ascii="仿宋" w:hAnsi="仿宋" w:eastAsia="仿宋" w:cs="仿宋"/>
          <w:color w:val="000000"/>
          <w:spacing w:val="6"/>
          <w:sz w:val="32"/>
          <w:szCs w:val="32"/>
          <w:lang w:val="en-US" w:eastAsia="zh-CN"/>
        </w:rPr>
      </w:pPr>
      <w:r>
        <w:rPr>
          <w:rFonts w:hint="default" w:ascii="仿宋" w:hAnsi="仿宋" w:eastAsia="仿宋" w:cs="仿宋"/>
          <w:color w:val="000000"/>
          <w:spacing w:val="6"/>
          <w:sz w:val="32"/>
          <w:szCs w:val="32"/>
          <w:lang w:val="en-US" w:eastAsia="zh-CN"/>
        </w:rPr>
        <w:t>本标准</w:t>
      </w:r>
      <w:r>
        <w:rPr>
          <w:rFonts w:hint="eastAsia" w:eastAsia="仿宋"/>
          <w:color w:val="000000" w:themeColor="text1"/>
          <w:sz w:val="32"/>
          <w:szCs w:val="24"/>
          <w14:textFill>
            <w14:solidFill>
              <w14:schemeClr w14:val="tx1"/>
            </w14:solidFill>
          </w14:textFill>
        </w:rPr>
        <w:t>严格遵循国家相关法律法规，以GB/T 1.1—20</w:t>
      </w:r>
      <w:r>
        <w:rPr>
          <w:rFonts w:hint="eastAsia" w:eastAsia="仿宋"/>
          <w:color w:val="000000" w:themeColor="text1"/>
          <w:sz w:val="32"/>
          <w:szCs w:val="24"/>
          <w:lang w:val="en-US" w:eastAsia="zh-CN"/>
          <w14:textFill>
            <w14:solidFill>
              <w14:schemeClr w14:val="tx1"/>
            </w14:solidFill>
          </w14:textFill>
        </w:rPr>
        <w:t>20</w:t>
      </w:r>
      <w:r>
        <w:rPr>
          <w:rFonts w:hint="eastAsia" w:eastAsia="仿宋"/>
          <w:color w:val="000000" w:themeColor="text1"/>
          <w:sz w:val="32"/>
          <w:szCs w:val="24"/>
          <w14:textFill>
            <w14:solidFill>
              <w14:schemeClr w14:val="tx1"/>
            </w14:solidFill>
          </w14:textFill>
        </w:rPr>
        <w:t>为</w:t>
      </w:r>
      <w:r>
        <w:rPr>
          <w:rFonts w:hint="eastAsia" w:eastAsia="仿宋"/>
          <w:color w:val="000000" w:themeColor="text1"/>
          <w:sz w:val="32"/>
          <w:szCs w:val="24"/>
          <w:lang w:val="en-US" w:eastAsia="zh-CN"/>
          <w14:textFill>
            <w14:solidFill>
              <w14:schemeClr w14:val="tx1"/>
            </w14:solidFill>
          </w14:textFill>
        </w:rPr>
        <w:t>原则</w:t>
      </w:r>
      <w:r>
        <w:rPr>
          <w:rFonts w:hint="eastAsia" w:eastAsia="仿宋"/>
          <w:color w:val="000000" w:themeColor="text1"/>
          <w:sz w:val="32"/>
          <w:szCs w:val="24"/>
          <w14:textFill>
            <w14:solidFill>
              <w14:schemeClr w14:val="tx1"/>
            </w14:solidFill>
          </w14:textFill>
        </w:rPr>
        <w:t>，符合标准化工作导则。</w:t>
      </w:r>
      <w:r>
        <w:rPr>
          <w:rFonts w:hint="default" w:ascii="仿宋" w:hAnsi="仿宋" w:eastAsia="仿宋" w:cs="仿宋"/>
          <w:color w:val="000000"/>
          <w:spacing w:val="6"/>
          <w:sz w:val="32"/>
          <w:szCs w:val="32"/>
          <w:lang w:val="en-US" w:eastAsia="zh-CN"/>
        </w:rPr>
        <w:t>经查询暂无与本项目相关的强制性标准。</w:t>
      </w:r>
    </w:p>
    <w:p w14:paraId="4A7B28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DFDFE"/>
        <w:spacing w:before="0" w:beforeAutospacing="0" w:after="0" w:afterAutospacing="0" w:line="26" w:lineRule="atLeast"/>
        <w:ind w:right="0" w:firstLine="640" w:firstLineChars="200"/>
        <w:rPr>
          <w:rFonts w:hint="eastAsia" w:ascii="黑体" w:hAnsi="黑体" w:eastAsia="黑体" w:cs="黑体"/>
          <w:color w:val="000000" w:themeColor="text1"/>
          <w:kern w:val="2"/>
          <w:sz w:val="32"/>
          <w:szCs w:val="24"/>
          <w:lang w:val="en-US" w:eastAsia="zh-CN" w:bidi="ar-SA"/>
          <w14:textFill>
            <w14:solidFill>
              <w14:schemeClr w14:val="tx1"/>
            </w14:solidFill>
          </w14:textFill>
        </w:rPr>
      </w:pPr>
      <w:r>
        <w:rPr>
          <w:rFonts w:hint="eastAsia" w:ascii="黑体" w:hAnsi="黑体" w:eastAsia="黑体" w:cs="黑体"/>
          <w:color w:val="000000" w:themeColor="text1"/>
          <w:kern w:val="2"/>
          <w:sz w:val="32"/>
          <w:szCs w:val="24"/>
          <w:lang w:val="en-US" w:eastAsia="zh-CN" w:bidi="ar-SA"/>
          <w14:textFill>
            <w14:solidFill>
              <w14:schemeClr w14:val="tx1"/>
            </w14:solidFill>
          </w14:textFill>
        </w:rPr>
        <w:t>八、标准实施的建议</w:t>
      </w:r>
    </w:p>
    <w:p w14:paraId="6AED32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DFDFE"/>
        <w:spacing w:before="0" w:beforeAutospacing="0" w:after="0" w:afterAutospacing="0" w:line="26" w:lineRule="atLeast"/>
        <w:ind w:right="0" w:firstLine="640" w:firstLineChars="200"/>
        <w:rPr>
          <w:rFonts w:hint="eastAsia"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建议在南阳市各博物馆、文博系统及景区结合自身情况推广使用。</w:t>
      </w:r>
    </w:p>
    <w:p w14:paraId="2091E4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DFDFE"/>
        <w:spacing w:before="0" w:beforeAutospacing="0" w:after="0" w:afterAutospacing="0" w:line="26" w:lineRule="atLeast"/>
        <w:ind w:right="0" w:firstLine="640" w:firstLineChars="200"/>
        <w:rPr>
          <w:rFonts w:hint="eastAsia" w:ascii="仿宋_GB2312" w:hAnsi="Times New Roman" w:eastAsia="仿宋_GB2312" w:cs="Times New Roman"/>
          <w:kern w:val="0"/>
          <w:sz w:val="32"/>
          <w:szCs w:val="32"/>
          <w:lang w:val="en-US" w:eastAsia="zh-CN" w:bidi="ar-SA"/>
        </w:rPr>
      </w:pPr>
    </w:p>
    <w:p w14:paraId="2E8EF4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DFDFE"/>
        <w:spacing w:before="0" w:beforeAutospacing="0" w:after="0" w:afterAutospacing="0" w:line="26" w:lineRule="atLeast"/>
        <w:ind w:right="0" w:firstLine="640" w:firstLineChars="200"/>
        <w:rPr>
          <w:rFonts w:hint="eastAsia"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 xml:space="preserve">         </w:t>
      </w:r>
    </w:p>
    <w:p w14:paraId="664B602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DFDFE"/>
        <w:spacing w:before="0" w:beforeAutospacing="0" w:after="0" w:afterAutospacing="0" w:line="26" w:lineRule="atLeast"/>
        <w:ind w:right="0" w:firstLine="640" w:firstLineChars="200"/>
        <w:rPr>
          <w:rFonts w:hint="eastAsia" w:ascii="仿宋_GB2312" w:hAnsi="Times New Roman" w:eastAsia="仿宋_GB2312" w:cs="Times New Roman"/>
          <w:kern w:val="0"/>
          <w:sz w:val="32"/>
          <w:szCs w:val="32"/>
          <w:lang w:val="en-US" w:eastAsia="zh-CN" w:bidi="ar-SA"/>
        </w:rPr>
      </w:pPr>
    </w:p>
    <w:p w14:paraId="6C5E5E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DFDFE"/>
        <w:spacing w:before="0" w:beforeAutospacing="0" w:after="0" w:afterAutospacing="0" w:line="26" w:lineRule="atLeast"/>
        <w:ind w:right="0" w:firstLine="1600" w:firstLineChars="500"/>
        <w:rPr>
          <w:rFonts w:hint="eastAsia" w:ascii="仿宋_GB2312" w:hAnsi="Times New Roman" w:eastAsia="仿宋_GB2312" w:cs="Times New Roman"/>
          <w:kern w:val="0"/>
          <w:sz w:val="32"/>
          <w:szCs w:val="32"/>
          <w:lang w:val="en-US" w:eastAsia="zh-CN" w:bidi="ar-SA"/>
        </w:rPr>
      </w:pPr>
    </w:p>
    <w:p w14:paraId="78EE8E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DFDFE"/>
        <w:spacing w:before="0" w:beforeAutospacing="0" w:after="0" w:afterAutospacing="0" w:line="26" w:lineRule="atLeast"/>
        <w:ind w:right="0" w:firstLine="1920" w:firstLineChars="600"/>
        <w:rPr>
          <w:rFonts w:hint="eastAsia"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 xml:space="preserve"> 《文博场馆数字化应用规范》标准起草小组</w:t>
      </w:r>
    </w:p>
    <w:p w14:paraId="7A864B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DFDFE"/>
        <w:spacing w:before="0" w:beforeAutospacing="0" w:after="0" w:afterAutospacing="0" w:line="26" w:lineRule="atLeast"/>
        <w:ind w:right="0" w:firstLine="4800" w:firstLineChars="1500"/>
        <w:rPr>
          <w:rFonts w:hint="default"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2025年6月16日</w:t>
      </w:r>
    </w:p>
    <w:p w14:paraId="5C9F8B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DFDFE"/>
        <w:spacing w:before="0" w:beforeAutospacing="0" w:after="0" w:afterAutospacing="0" w:line="26" w:lineRule="atLeast"/>
        <w:ind w:right="0" w:firstLine="640" w:firstLineChars="200"/>
        <w:rPr>
          <w:rFonts w:hint="eastAsia" w:ascii="仿宋_GB2312" w:hAnsi="Times New Roman" w:eastAsia="仿宋_GB2312" w:cs="Times New Roman"/>
          <w:kern w:val="0"/>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1861B52-F481-414F-97DA-D042CCFCCF9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B6B87898-5B20-4072-84A7-BE0288EE8B32}"/>
  </w:font>
  <w:font w:name="方正小标宋简体">
    <w:panose1 w:val="02000000000000000000"/>
    <w:charset w:val="86"/>
    <w:family w:val="script"/>
    <w:pitch w:val="default"/>
    <w:sig w:usb0="00000001" w:usb1="08000000" w:usb2="00000000" w:usb3="00000000" w:csb0="00040000" w:csb1="00000000"/>
    <w:embedRegular r:id="rId3" w:fontKey="{05F51E6B-11B9-44A8-B876-1C6EC2BAEA02}"/>
  </w:font>
  <w:font w:name="仿宋_GB2312">
    <w:altName w:val="仿宋"/>
    <w:panose1 w:val="02010609030101010101"/>
    <w:charset w:val="86"/>
    <w:family w:val="modern"/>
    <w:pitch w:val="default"/>
    <w:sig w:usb0="00000000" w:usb1="00000000" w:usb2="00000010" w:usb3="00000000" w:csb0="00040000" w:csb1="00000000"/>
    <w:embedRegular r:id="rId4" w:fontKey="{ECD56BE6-64A2-4B9A-8BE4-4A8C81AE4CF5}"/>
  </w:font>
  <w:font w:name="仿宋">
    <w:panose1 w:val="02010609060101010101"/>
    <w:charset w:val="86"/>
    <w:family w:val="auto"/>
    <w:pitch w:val="default"/>
    <w:sig w:usb0="800002BF" w:usb1="38CF7CFA" w:usb2="00000016" w:usb3="00000000" w:csb0="00040001" w:csb1="00000000"/>
    <w:embedRegular r:id="rId5" w:fontKey="{E070B97E-7AD9-4850-AB9D-F5E484E41AAC}"/>
  </w:font>
  <w:font w:name="方正楷体_GB2312">
    <w:panose1 w:val="02000000000000000000"/>
    <w:charset w:val="86"/>
    <w:family w:val="auto"/>
    <w:pitch w:val="default"/>
    <w:sig w:usb0="A00002BF" w:usb1="184F6CFA" w:usb2="00000012" w:usb3="00000000" w:csb0="00040001" w:csb1="00000000"/>
    <w:embedRegular r:id="rId6" w:fontKey="{E5044F5B-BB51-40AA-88C8-6F5EB07E06C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DCFBDB"/>
    <w:multiLevelType w:val="singleLevel"/>
    <w:tmpl w:val="EBDCFBD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820FCF"/>
    <w:rsid w:val="008754C6"/>
    <w:rsid w:val="020A2568"/>
    <w:rsid w:val="042D27FE"/>
    <w:rsid w:val="04CE5ACF"/>
    <w:rsid w:val="053A3164"/>
    <w:rsid w:val="05C869C2"/>
    <w:rsid w:val="08536A17"/>
    <w:rsid w:val="092F322A"/>
    <w:rsid w:val="0AD61B81"/>
    <w:rsid w:val="0AE23F8D"/>
    <w:rsid w:val="0C4A1EDF"/>
    <w:rsid w:val="0D7A67F4"/>
    <w:rsid w:val="0E9F5368"/>
    <w:rsid w:val="10264A11"/>
    <w:rsid w:val="10AA32AD"/>
    <w:rsid w:val="110D797F"/>
    <w:rsid w:val="13FA68E0"/>
    <w:rsid w:val="145C4EA5"/>
    <w:rsid w:val="14B7657F"/>
    <w:rsid w:val="17365E81"/>
    <w:rsid w:val="185645F2"/>
    <w:rsid w:val="185F6D12"/>
    <w:rsid w:val="194A1770"/>
    <w:rsid w:val="19C83DDC"/>
    <w:rsid w:val="1BD71A93"/>
    <w:rsid w:val="1E5310C7"/>
    <w:rsid w:val="205952F3"/>
    <w:rsid w:val="233B037C"/>
    <w:rsid w:val="24A106B2"/>
    <w:rsid w:val="24CA7C09"/>
    <w:rsid w:val="254C4AC2"/>
    <w:rsid w:val="277976C4"/>
    <w:rsid w:val="27EB6814"/>
    <w:rsid w:val="299407E6"/>
    <w:rsid w:val="2B6D7540"/>
    <w:rsid w:val="2B9C5628"/>
    <w:rsid w:val="2C025EDA"/>
    <w:rsid w:val="2C611D37"/>
    <w:rsid w:val="2CE04D3C"/>
    <w:rsid w:val="2EF014AF"/>
    <w:rsid w:val="310D3357"/>
    <w:rsid w:val="31927D00"/>
    <w:rsid w:val="32140715"/>
    <w:rsid w:val="332A5484"/>
    <w:rsid w:val="3350577D"/>
    <w:rsid w:val="33EA7980"/>
    <w:rsid w:val="35A3072E"/>
    <w:rsid w:val="35E14DB3"/>
    <w:rsid w:val="38F31085"/>
    <w:rsid w:val="3A533601"/>
    <w:rsid w:val="3ABC194A"/>
    <w:rsid w:val="3AD2116E"/>
    <w:rsid w:val="3E3363C7"/>
    <w:rsid w:val="3EFD7997"/>
    <w:rsid w:val="409742EF"/>
    <w:rsid w:val="42DE2DA6"/>
    <w:rsid w:val="463B22BD"/>
    <w:rsid w:val="47B57E4D"/>
    <w:rsid w:val="49156307"/>
    <w:rsid w:val="49820FCF"/>
    <w:rsid w:val="4AA06B93"/>
    <w:rsid w:val="4D4B1038"/>
    <w:rsid w:val="4DD252B5"/>
    <w:rsid w:val="4F035942"/>
    <w:rsid w:val="4F0F42E7"/>
    <w:rsid w:val="4FD35314"/>
    <w:rsid w:val="50250266"/>
    <w:rsid w:val="50DF4FF7"/>
    <w:rsid w:val="51063B27"/>
    <w:rsid w:val="51475FBA"/>
    <w:rsid w:val="51BA678C"/>
    <w:rsid w:val="521340EE"/>
    <w:rsid w:val="52595FA5"/>
    <w:rsid w:val="52952D55"/>
    <w:rsid w:val="52BF25B6"/>
    <w:rsid w:val="56C836F9"/>
    <w:rsid w:val="57F8000E"/>
    <w:rsid w:val="58E660B8"/>
    <w:rsid w:val="5C3F26AF"/>
    <w:rsid w:val="5F592BBF"/>
    <w:rsid w:val="62F3254E"/>
    <w:rsid w:val="6530528B"/>
    <w:rsid w:val="66344907"/>
    <w:rsid w:val="68242759"/>
    <w:rsid w:val="6BCE135A"/>
    <w:rsid w:val="6BFC28E6"/>
    <w:rsid w:val="6C2D49CA"/>
    <w:rsid w:val="6C4E4249"/>
    <w:rsid w:val="6D8F68C7"/>
    <w:rsid w:val="6E092264"/>
    <w:rsid w:val="6EF81F37"/>
    <w:rsid w:val="71175551"/>
    <w:rsid w:val="715C7408"/>
    <w:rsid w:val="733221CE"/>
    <w:rsid w:val="73C3376E"/>
    <w:rsid w:val="75153B55"/>
    <w:rsid w:val="75792134"/>
    <w:rsid w:val="75C15A8B"/>
    <w:rsid w:val="76197675"/>
    <w:rsid w:val="768D3BBF"/>
    <w:rsid w:val="79725A1A"/>
    <w:rsid w:val="7A996FD7"/>
    <w:rsid w:val="7B0C6160"/>
    <w:rsid w:val="7B0F3FD7"/>
    <w:rsid w:val="7C5A4544"/>
    <w:rsid w:val="7CFB7AD5"/>
    <w:rsid w:val="7DD6409E"/>
    <w:rsid w:val="7E837D82"/>
    <w:rsid w:val="7F0B0898"/>
    <w:rsid w:val="7FB10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2271</Words>
  <Characters>2364</Characters>
  <Lines>0</Lines>
  <Paragraphs>0</Paragraphs>
  <TotalTime>0</TotalTime>
  <ScaleCrop>false</ScaleCrop>
  <LinksUpToDate>false</LinksUpToDate>
  <CharactersWithSpaces>2384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2025-05-27T01:38:00Z</dcterms:created>
  <dc:creator>芭蕉</dc:creator>
  <cp:lastModifiedBy>芭蕉</cp:lastModifiedBy>
  <dcterms:modified xsi:type="dcterms:W3CDTF">2025-06-27T08:12:07Z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4CD831266F63412B89858C80C799B67E_11</vt:lpwstr>
  </property>
  <property fmtid="{D5CDD505-2E9C-101B-9397-08002B2CF9AE}" pid="4" name="KSOTemplateDocerSaveRecord">
    <vt:lpwstr>eyJoZGlkIjoiZmFjOWM5ZDNiYzNiYjE5OWI2MmFiNGU4NDM4MDkxNzQiLCJ1c2VySWQiOiIxMDMyNDczNDY3In0=</vt:lpwstr>
  </property>
</Properties>
</file>