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F6043">
      <w:pPr>
        <w:snapToGrid w:val="0"/>
        <w:spacing w:line="360" w:lineRule="auto"/>
        <w:ind w:firstLine="440" w:firstLineChars="100"/>
        <w:rPr>
          <w:rFonts w:hint="eastAsia" w:ascii="方正小标宋简体" w:hAnsi="黑体" w:eastAsia="方正小标宋简体" w:cs="Times New Roman"/>
          <w:kern w:val="0"/>
          <w:sz w:val="44"/>
          <w:szCs w:val="44"/>
        </w:rPr>
      </w:pPr>
    </w:p>
    <w:p w14:paraId="3E9FAC1E">
      <w:pPr>
        <w:snapToGrid w:val="0"/>
        <w:spacing w:line="360" w:lineRule="auto"/>
        <w:ind w:firstLine="880" w:firstLineChars="200"/>
        <w:rPr>
          <w:rFonts w:hint="eastAsia" w:ascii="方正小标宋简体" w:hAnsi="黑体" w:eastAsia="方正小标宋简体" w:cs="Times New Roman"/>
          <w:kern w:val="0"/>
          <w:sz w:val="44"/>
          <w:szCs w:val="44"/>
        </w:rPr>
      </w:pPr>
      <w:r>
        <w:rPr>
          <w:rFonts w:hint="eastAsia" w:ascii="方正小标宋简体" w:hAnsi="黑体" w:eastAsia="方正小标宋简体" w:cs="Times New Roman"/>
          <w:kern w:val="0"/>
          <w:sz w:val="44"/>
          <w:szCs w:val="44"/>
        </w:rPr>
        <w:t>《文博场馆陈列展览管理规范》</w:t>
      </w:r>
    </w:p>
    <w:p w14:paraId="376F7EB3">
      <w:pPr>
        <w:snapToGrid w:val="0"/>
        <w:spacing w:line="360" w:lineRule="auto"/>
        <w:ind w:firstLine="1760" w:firstLineChars="400"/>
        <w:rPr>
          <w:rFonts w:hint="eastAsia" w:ascii="方正小标宋简体" w:hAnsi="黑体" w:eastAsia="方正小标宋简体" w:cs="Times New Roman"/>
          <w:kern w:val="0"/>
          <w:sz w:val="44"/>
          <w:szCs w:val="44"/>
        </w:rPr>
      </w:pPr>
      <w:r>
        <w:rPr>
          <w:rFonts w:hint="eastAsia" w:ascii="方正小标宋简体" w:hAnsi="黑体" w:eastAsia="方正小标宋简体" w:cs="Times New Roman"/>
          <w:kern w:val="0"/>
          <w:sz w:val="44"/>
          <w:szCs w:val="44"/>
        </w:rPr>
        <w:t>南阳市地方标准编制说明</w:t>
      </w:r>
    </w:p>
    <w:p w14:paraId="3F7B6B8C">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黑体" w:hAnsi="黑体" w:eastAsia="黑体" w:cs="黑体"/>
          <w:color w:val="000000" w:themeColor="text1"/>
          <w:sz w:val="32"/>
          <w:szCs w:val="24"/>
          <w:lang w:val="en-US" w:eastAsia="zh-CN"/>
          <w14:textFill>
            <w14:solidFill>
              <w14:schemeClr w14:val="tx1"/>
            </w14:solidFill>
          </w14:textFill>
        </w:rPr>
      </w:pPr>
      <w:r>
        <w:rPr>
          <w:rFonts w:hint="eastAsia" w:ascii="黑体" w:hAnsi="黑体" w:eastAsia="黑体" w:cs="黑体"/>
          <w:color w:val="000000" w:themeColor="text1"/>
          <w:sz w:val="32"/>
          <w:szCs w:val="24"/>
          <w:lang w:val="en-US" w:eastAsia="zh-CN"/>
          <w14:textFill>
            <w14:solidFill>
              <w14:schemeClr w14:val="tx1"/>
            </w14:solidFill>
          </w14:textFill>
        </w:rPr>
        <w:t>一、编制的目的和意义</w:t>
      </w:r>
    </w:p>
    <w:p w14:paraId="32CF8D8E">
      <w:pPr>
        <w:ind w:firstLine="643" w:firstLineChars="200"/>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（一）目的</w:t>
      </w:r>
    </w:p>
    <w:p w14:paraId="3616DD61">
      <w:pPr>
        <w:ind w:firstLine="640" w:firstLineChars="200"/>
        <w:rPr>
          <w:rFonts w:hint="eastAsia" w:ascii="仿宋_GB2312" w:hAnsi="Times New Roman" w:eastAsia="仿宋_GB2312" w:cs="Times New Roman"/>
          <w:kern w:val="0"/>
          <w:sz w:val="32"/>
          <w:szCs w:val="32"/>
          <w:lang w:val="en-US" w:eastAsia="zh-CN" w:bidi="ar-SA"/>
        </w:rPr>
      </w:pPr>
      <w:r>
        <w:rPr>
          <w:rFonts w:hint="default" w:ascii="仿宋_GB2312" w:hAnsi="Times New Roman" w:eastAsia="仿宋_GB2312" w:cs="Times New Roman"/>
          <w:kern w:val="0"/>
          <w:sz w:val="32"/>
          <w:szCs w:val="32"/>
          <w:lang w:val="en-US" w:eastAsia="zh-CN" w:bidi="ar-SA"/>
        </w:rPr>
        <w:t>一所博物馆就是一所大学校</w:t>
      </w:r>
      <w:r>
        <w:rPr>
          <w:rFonts w:hint="eastAsia" w:ascii="仿宋_GB2312" w:hAnsi="Times New Roman" w:eastAsia="仿宋_GB2312" w:cs="Times New Roman"/>
          <w:kern w:val="0"/>
          <w:sz w:val="32"/>
          <w:szCs w:val="32"/>
          <w:lang w:val="en-US" w:eastAsia="zh-CN" w:bidi="ar-SA"/>
        </w:rPr>
        <w:t>，陈列展览是博物馆向社会公众提供的最重要精神文化产品、展示地方文化和历史的重要窗口。《国家标准化发展纲要》明确提出要“推进基本公共服务标准化建设”，作为国务院首批历史文化名城，南阳文物资源十分丰富，文博场馆较多。制定南阳市《文博场馆陈列展览管理规范》</w:t>
      </w:r>
      <w:r>
        <w:rPr>
          <w:rFonts w:hint="eastAsia" w:ascii="仿宋_GB2312" w:hAnsi="Times New Roman" w:eastAsia="仿宋_GB2312" w:cs="Times New Roman"/>
          <w:kern w:val="0"/>
          <w:sz w:val="32"/>
          <w:szCs w:val="32"/>
          <w:lang w:val="en-US" w:eastAsia="zh-CN" w:bidi="ar-SA"/>
        </w:rPr>
        <w:t>地方标准</w:t>
      </w:r>
      <w:r>
        <w:rPr>
          <w:rFonts w:hint="eastAsia" w:ascii="仿宋_GB2312" w:hAnsi="Times New Roman" w:eastAsia="仿宋_GB2312" w:cs="Times New Roman"/>
          <w:kern w:val="0"/>
          <w:sz w:val="32"/>
          <w:szCs w:val="32"/>
          <w:lang w:val="en-US" w:eastAsia="zh-CN" w:bidi="ar-SA"/>
        </w:rPr>
        <w:t>，建立陈展全周期管理体系是响应国家政策号召、符合行业标准发展的重要举措，推动文博事业高质量发展的重要抓手，有助于填补制度空白、提供行业操作性指南，是增强博物馆公共文化服务效能、促进文旅融合的现实需要。</w:t>
      </w:r>
    </w:p>
    <w:p w14:paraId="240F6927">
      <w:pPr>
        <w:ind w:firstLine="643" w:firstLineChars="200"/>
        <w:rPr>
          <w:rFonts w:hint="default"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（二）意义</w:t>
      </w:r>
    </w:p>
    <w:p w14:paraId="6D6F0E9D">
      <w:pPr>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规范文博场馆陈列展览管理，确立陈展策划、设计、实施等技术标准，能确保展览内容严谨、形式合理，符合学术标准与公众认知需求，保障展览科学性与专业性；明确文物运输、展陈环境、安防技术等要求，能强化文物安全管理，为文化遗产的可持续利用提供制度保障；规范提升展览品质有利于打造南阳特色文化IP，增强文博场馆的社会影响力，推动文旅融合发展，助力“文旅强市”战略实施；统一管理标准也能推动南阳各县区文博场馆资源共享、经验互通，更好地推进博物馆高质量发展，形成区域文化联动效应，提升整体文化服务水平，为“南阳，一个值得三顾的地方”提供文化支撑。</w:t>
      </w:r>
    </w:p>
    <w:p w14:paraId="30C8434F">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方正楷体_GB2312" w:hAnsi="方正楷体_GB2312" w:eastAsia="方正楷体_GB2312" w:cs="方正楷体_GB2312"/>
          <w:color w:val="C00000"/>
          <w:kern w:val="0"/>
          <w:sz w:val="32"/>
          <w:szCs w:val="32"/>
          <w:lang w:val="en-US" w:eastAsia="zh-CN" w:bidi="ar-SA"/>
        </w:rPr>
      </w:pPr>
      <w:r>
        <w:rPr>
          <w:rFonts w:hint="eastAsia" w:ascii="黑体" w:hAnsi="黑体" w:eastAsia="黑体" w:cs="黑体"/>
          <w:color w:val="000000" w:themeColor="text1"/>
          <w:sz w:val="32"/>
          <w:szCs w:val="24"/>
          <w:lang w:val="en-US" w:eastAsia="zh-CN"/>
          <w14:textFill>
            <w14:solidFill>
              <w14:schemeClr w14:val="tx1"/>
            </w14:solidFill>
          </w14:textFill>
        </w:rPr>
        <w:t>二、任务来源及编制原则和依据</w:t>
      </w:r>
    </w:p>
    <w:p w14:paraId="0A220289">
      <w:pPr>
        <w:ind w:firstLine="643" w:firstLineChars="200"/>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(一）任务来源</w:t>
      </w:r>
    </w:p>
    <w:p w14:paraId="082DF5EB">
      <w:pPr>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南阳市博物院作为豫西南地区重要的综合性博物馆和文化地标，起草《文博场馆陈列展览管理规范》具有深厚的专业背景支撑。一是机构职能所在。作为国家一级博物馆，业务范围涵盖文物征集、展览策划、文物保护及文创开发等，通过规范化管理实现公益目标，起草展览管理规范是南阳市博物院履行法定职责的具体实践；二是政策与行业趋势驱动。近年来，国家强调“让文物活起来”和文化遗产保护利用，南阳作为历史文化名城，需通过规范落实政策导向，提升文旅融合效能。国内学术界的研究成果和先行地区经验也为南阳陈列展览管理规范制定提供了技术参考；三是实践需求与技术积累。南阳市博物院长期举办各项展览，“千年一遇——近年来南阳重大考古发现成果展”入选“2020年度河南省优秀陈列展览”，“百年南阳画卷——建党100周年南阳党史大型图片展”入选“河南省庆祝中国共产党成立100周年精品展览推介名单”，“文明在宛——南阳历史基本陈列”入选“2021年度河南省优秀陈列展览”推介名单，入围“2021年度全国博物馆十大陈列展览精品”评选，“渠首遗珍——南水北调中线工程南阳段文物保护成果展”被评为河南省及全国“弘扬中华优秀传统文化、培育社会主义核心价值观”主题展优秀陈列展览，南阳市博物院在布展流程、文物点交、安全防护等方面有成熟经验，为规范中技术标准的制定提供了直接依据。</w:t>
      </w:r>
      <w:r>
        <w:rPr>
          <w:rFonts w:hint="eastAsia" w:ascii="仿宋" w:hAnsi="仿宋" w:eastAsia="仿宋" w:cs="仿宋"/>
          <w:color w:val="000000"/>
          <w:spacing w:val="6"/>
          <w:sz w:val="32"/>
          <w:szCs w:val="32"/>
          <w:lang w:val="en-US" w:eastAsia="zh-CN"/>
        </w:rPr>
        <w:t>结合我院近年来开展陈列展览工作成效及取得荣誉，并对全市陈列展览管理工作进行实地调研和可行性分析，特别是与省内优秀陈列展览管理工作经验进行交流</w:t>
      </w:r>
      <w:r>
        <w:rPr>
          <w:rFonts w:hint="eastAsia" w:ascii="仿宋_GB2312" w:hAnsi="Times New Roman" w:eastAsia="仿宋_GB2312" w:cs="Times New Roman"/>
          <w:kern w:val="0"/>
          <w:sz w:val="32"/>
          <w:szCs w:val="32"/>
          <w:lang w:val="en-US" w:eastAsia="zh-CN" w:bidi="ar-SA"/>
        </w:rPr>
        <w:t>，最终归纳整理出南阳市地方标准《文博场馆陈列展览管理规范》</w:t>
      </w:r>
      <w:bookmarkStart w:id="0" w:name="_GoBack"/>
      <w:bookmarkEnd w:id="0"/>
      <w:r>
        <w:rPr>
          <w:rFonts w:hint="eastAsia" w:ascii="仿宋_GB2312" w:hAnsi="Times New Roman" w:eastAsia="仿宋_GB2312" w:cs="Times New Roman"/>
          <w:kern w:val="0"/>
          <w:sz w:val="32"/>
          <w:szCs w:val="32"/>
          <w:lang w:val="en-US" w:eastAsia="zh-CN" w:bidi="ar-SA"/>
        </w:rPr>
        <w:t>初稿。</w:t>
      </w:r>
    </w:p>
    <w:p w14:paraId="12AE4C73">
      <w:pPr>
        <w:widowControl/>
        <w:spacing w:line="360" w:lineRule="auto"/>
        <w:ind w:firstLine="664" w:firstLineChars="200"/>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年3月18日由南阳市市场监督管理局组织召开</w:t>
      </w:r>
      <w:r>
        <w:rPr>
          <w:rFonts w:hint="eastAsia" w:ascii="仿宋" w:hAnsi="仿宋" w:eastAsia="仿宋" w:cs="仿宋"/>
          <w:color w:val="000000"/>
          <w:spacing w:val="6"/>
          <w:sz w:val="32"/>
          <w:szCs w:val="32"/>
          <w:lang w:val="en-US" w:eastAsia="zh-CN"/>
        </w:rPr>
        <w:t>文博系统</w:t>
      </w:r>
      <w:r>
        <w:rPr>
          <w:rFonts w:hint="default" w:ascii="仿宋" w:hAnsi="仿宋" w:eastAsia="仿宋" w:cs="仿宋"/>
          <w:color w:val="000000"/>
          <w:spacing w:val="6"/>
          <w:sz w:val="32"/>
          <w:szCs w:val="32"/>
          <w:lang w:val="en-US" w:eastAsia="zh-CN"/>
        </w:rPr>
        <w:t>地方标准立项会，</w:t>
      </w:r>
      <w:r>
        <w:rPr>
          <w:rFonts w:hint="eastAsia" w:ascii="仿宋" w:hAnsi="仿宋" w:eastAsia="仿宋" w:cs="仿宋"/>
          <w:color w:val="000000"/>
          <w:spacing w:val="6"/>
          <w:sz w:val="32"/>
          <w:szCs w:val="32"/>
          <w:lang w:val="en-US" w:eastAsia="zh-CN"/>
        </w:rPr>
        <w:t>标准制订小组7位专家领导对南阳市博物院起草的地方标准《</w:t>
      </w:r>
      <w:r>
        <w:rPr>
          <w:rFonts w:hint="eastAsia" w:ascii="仿宋_GB2312" w:hAnsi="Times New Roman" w:eastAsia="仿宋_GB2312" w:cs="Times New Roman"/>
          <w:kern w:val="0"/>
          <w:sz w:val="32"/>
          <w:szCs w:val="32"/>
          <w:lang w:val="en-US" w:eastAsia="zh-CN" w:bidi="ar-SA"/>
        </w:rPr>
        <w:t>文博场馆陈列展览管理规范</w:t>
      </w:r>
      <w:r>
        <w:rPr>
          <w:rFonts w:hint="eastAsia" w:ascii="仿宋" w:hAnsi="仿宋" w:eastAsia="仿宋" w:cs="仿宋"/>
          <w:color w:val="000000"/>
          <w:spacing w:val="6"/>
          <w:sz w:val="32"/>
          <w:szCs w:val="32"/>
          <w:lang w:val="en-US" w:eastAsia="zh-CN"/>
        </w:rPr>
        <w:t>》进行评审，并提出修改意见和建议，进行完善和提升，从而形成该标准草案。</w:t>
      </w:r>
    </w:p>
    <w:p w14:paraId="41CB1CF9">
      <w:pPr>
        <w:widowControl/>
        <w:spacing w:line="360" w:lineRule="auto"/>
        <w:ind w:firstLine="664" w:firstLineChars="200"/>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评审专家论证一致</w:t>
      </w:r>
      <w:r>
        <w:rPr>
          <w:rFonts w:hint="eastAsia" w:ascii="仿宋" w:hAnsi="仿宋" w:eastAsia="仿宋" w:cs="仿宋"/>
          <w:color w:val="000000"/>
          <w:spacing w:val="6"/>
          <w:sz w:val="32"/>
          <w:szCs w:val="32"/>
          <w:lang w:val="en-US" w:eastAsia="zh-CN"/>
        </w:rPr>
        <w:t>同意</w:t>
      </w:r>
      <w:r>
        <w:rPr>
          <w:rFonts w:hint="default" w:ascii="仿宋" w:hAnsi="仿宋" w:eastAsia="仿宋" w:cs="仿宋"/>
          <w:color w:val="000000"/>
          <w:spacing w:val="6"/>
          <w:sz w:val="32"/>
          <w:szCs w:val="32"/>
          <w:lang w:val="en-US" w:eastAsia="zh-CN"/>
        </w:rPr>
        <w:t>立项，</w:t>
      </w:r>
      <w:r>
        <w:rPr>
          <w:rFonts w:hint="eastAsia" w:ascii="仿宋_GB2312" w:hAnsi="Times New Roman" w:eastAsia="仿宋_GB2312" w:cs="Times New Roman"/>
          <w:kern w:val="0"/>
          <w:sz w:val="32"/>
          <w:szCs w:val="32"/>
          <w:lang w:val="en-US" w:eastAsia="zh-CN" w:bidi="ar-SA"/>
        </w:rPr>
        <w:t>2025年4月1日，南阳市市场监督管理局下发文件（“宛市监函”【2025】12号）《南阳市市场监督管理局关于下达2025年南阳市地方标准制定计划的通知》，《文博场馆陈列展览管理规范》立项编号为2025003。</w:t>
      </w:r>
    </w:p>
    <w:p w14:paraId="01EC6B82">
      <w:pPr>
        <w:keepNext w:val="0"/>
        <w:keepLines w:val="0"/>
        <w:pageBreakBefore w:val="0"/>
        <w:widowControl w:val="0"/>
        <w:numPr>
          <w:ilvl w:val="0"/>
          <w:numId w:val="1"/>
        </w:numPr>
        <w:kinsoku/>
        <w:wordWrap/>
        <w:overflowPunct/>
        <w:topLinePunct w:val="0"/>
        <w:autoSpaceDE/>
        <w:autoSpaceDN/>
        <w:bidi w:val="0"/>
        <w:adjustRightInd/>
        <w:spacing w:line="240" w:lineRule="auto"/>
        <w:ind w:firstLine="643" w:firstLineChars="200"/>
        <w:textAlignment w:val="auto"/>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编制原则</w:t>
      </w:r>
    </w:p>
    <w:p w14:paraId="226957A0">
      <w:pPr>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该标准基本原则为：适用对象为南阳市域内国有博物馆、非国有博物馆、纪念馆、陈列馆等文博场馆，纳入备案管理的“类博物馆”（如行业展示馆、非遗工坊等），以及政府主导的临时展览及巡回展览项目；适用展览类型为常设展、临时展、巡回展、数字展及联合策展、非遗活态展示项目；适用环节为展览全生命周期（策划、设计、布展、开放、撤展）及相关技术操作。</w:t>
      </w:r>
    </w:p>
    <w:p w14:paraId="265C6AEA">
      <w:pPr>
        <w:keepNext w:val="0"/>
        <w:keepLines w:val="0"/>
        <w:pageBreakBefore w:val="0"/>
        <w:widowControl w:val="0"/>
        <w:numPr>
          <w:ilvl w:val="0"/>
          <w:numId w:val="1"/>
        </w:numPr>
        <w:kinsoku/>
        <w:wordWrap/>
        <w:overflowPunct/>
        <w:topLinePunct w:val="0"/>
        <w:autoSpaceDE/>
        <w:autoSpaceDN/>
        <w:bidi w:val="0"/>
        <w:adjustRightInd/>
        <w:spacing w:line="240" w:lineRule="auto"/>
        <w:ind w:left="0" w:leftChars="0" w:firstLine="643" w:firstLineChars="200"/>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依据</w:t>
      </w:r>
    </w:p>
    <w:p w14:paraId="37573664">
      <w:pPr>
        <w:ind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主要依据为《中华人民共和国文物保护法》《中华人民共和国文物保护法实施条例》《博物馆条例》《博物馆藏品管理办法》《博物馆管理办法》《馆藏文物展览点交规范》《关于加强博物馆陈列展览工作的意见》《博物馆陈列展览形式设计与施工规范》《博物馆展览内容设计规范》《关于推进博物馆改革发展的指导意见》《国家文物局关于加强陈列展览中文物防震工作的通知》等。</w:t>
      </w:r>
    </w:p>
    <w:p w14:paraId="38FA0740">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黑体" w:hAnsi="黑体" w:eastAsia="黑体" w:cs="黑体"/>
          <w:color w:val="000000" w:themeColor="text1"/>
          <w:kern w:val="2"/>
          <w:sz w:val="32"/>
          <w:szCs w:val="24"/>
          <w:lang w:val="en-US" w:eastAsia="zh-CN" w:bidi="ar-SA"/>
          <w14:textFill>
            <w14:solidFill>
              <w14:schemeClr w14:val="tx1"/>
            </w14:solidFill>
          </w14:textFill>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编制过程</w:t>
      </w:r>
    </w:p>
    <w:p w14:paraId="0E65DA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南阳市博物院高度重视此项工作，成立《文博场馆陈列展览管理规范》地方标准领导小组，该标准技术归口单位、行政主管部门为南阳市文化广电和旅游局，起草单位为南阳市博物院，李远为负责人，韩梅、林丽霞、郭靖、吴景蕊、杨志玲、王克、刘林、陈静等参与。牛宏成院长要求该标准制定小组成员，一定要高标准、严要求制定该地方标准，并能切实指导规范今后南阳文博场馆陈列展览管理工作；副院长黄迎光带领相关成员，</w:t>
      </w:r>
      <w:r>
        <w:rPr>
          <w:rFonts w:hint="default" w:ascii="仿宋" w:hAnsi="仿宋" w:eastAsia="仿宋" w:cs="仿宋"/>
          <w:color w:val="000000"/>
          <w:spacing w:val="6"/>
          <w:sz w:val="32"/>
          <w:szCs w:val="32"/>
          <w:lang w:val="en-US" w:eastAsia="zh-CN"/>
        </w:rPr>
        <w:t>在前期</w:t>
      </w:r>
      <w:r>
        <w:rPr>
          <w:rFonts w:hint="eastAsia" w:ascii="仿宋" w:hAnsi="仿宋" w:eastAsia="仿宋" w:cs="仿宋"/>
          <w:color w:val="000000"/>
          <w:spacing w:val="6"/>
          <w:sz w:val="32"/>
          <w:szCs w:val="32"/>
          <w:lang w:val="en-US" w:eastAsia="zh-CN"/>
        </w:rPr>
        <w:t>实地调查研究</w:t>
      </w:r>
      <w:r>
        <w:rPr>
          <w:rFonts w:hint="default" w:ascii="仿宋" w:hAnsi="仿宋" w:eastAsia="仿宋" w:cs="仿宋"/>
          <w:color w:val="000000"/>
          <w:spacing w:val="6"/>
          <w:sz w:val="32"/>
          <w:szCs w:val="32"/>
          <w:lang w:val="en-US" w:eastAsia="zh-CN"/>
        </w:rPr>
        <w:t>基础上，</w:t>
      </w:r>
      <w:r>
        <w:rPr>
          <w:rFonts w:hint="eastAsia" w:ascii="仿宋_GB2312" w:hAnsi="Times New Roman" w:eastAsia="仿宋_GB2312" w:cs="Times New Roman"/>
          <w:kern w:val="0"/>
          <w:sz w:val="32"/>
          <w:szCs w:val="32"/>
          <w:lang w:val="en-US" w:eastAsia="zh-CN" w:bidi="ar-SA"/>
        </w:rPr>
        <w:t>结合南阳市博物院陈列展览工作实践及成效，吸收省内外文博场馆陈列展览管理工作成功经验</w:t>
      </w:r>
      <w:r>
        <w:rPr>
          <w:rFonts w:hint="default" w:ascii="仿宋" w:hAnsi="仿宋" w:eastAsia="仿宋" w:cs="仿宋"/>
          <w:color w:val="000000"/>
          <w:spacing w:val="6"/>
          <w:sz w:val="32"/>
          <w:szCs w:val="32"/>
          <w:lang w:val="en-US" w:eastAsia="zh-CN"/>
        </w:rPr>
        <w:t>，收集、</w:t>
      </w:r>
      <w:r>
        <w:rPr>
          <w:rFonts w:hint="eastAsia" w:ascii="仿宋" w:hAnsi="仿宋" w:eastAsia="仿宋" w:cs="仿宋"/>
          <w:color w:val="000000"/>
          <w:spacing w:val="6"/>
          <w:sz w:val="32"/>
          <w:szCs w:val="32"/>
          <w:lang w:val="en-US" w:eastAsia="zh-CN"/>
        </w:rPr>
        <w:t>学习、</w:t>
      </w:r>
      <w:r>
        <w:rPr>
          <w:rFonts w:hint="default" w:ascii="仿宋" w:hAnsi="仿宋" w:eastAsia="仿宋" w:cs="仿宋"/>
          <w:color w:val="000000"/>
          <w:spacing w:val="6"/>
          <w:sz w:val="32"/>
          <w:szCs w:val="32"/>
          <w:lang w:val="en-US" w:eastAsia="zh-CN"/>
        </w:rPr>
        <w:t>研究相关国家</w:t>
      </w:r>
      <w:r>
        <w:rPr>
          <w:rFonts w:hint="eastAsia" w:ascii="仿宋" w:hAnsi="仿宋" w:eastAsia="仿宋" w:cs="仿宋"/>
          <w:color w:val="000000"/>
          <w:spacing w:val="6"/>
          <w:sz w:val="32"/>
          <w:szCs w:val="32"/>
          <w:lang w:val="en-US" w:eastAsia="zh-CN"/>
        </w:rPr>
        <w:t>及</w:t>
      </w:r>
      <w:r>
        <w:rPr>
          <w:rFonts w:hint="default" w:ascii="仿宋" w:hAnsi="仿宋" w:eastAsia="仿宋" w:cs="仿宋"/>
          <w:color w:val="000000"/>
          <w:spacing w:val="6"/>
          <w:sz w:val="32"/>
          <w:szCs w:val="32"/>
          <w:lang w:val="en-US" w:eastAsia="zh-CN"/>
        </w:rPr>
        <w:t>行业标准，查阅相关文献资料，经过</w:t>
      </w:r>
      <w:r>
        <w:rPr>
          <w:rFonts w:hint="eastAsia" w:ascii="仿宋" w:hAnsi="仿宋" w:eastAsia="仿宋" w:cs="仿宋"/>
          <w:color w:val="000000"/>
          <w:spacing w:val="6"/>
          <w:sz w:val="32"/>
          <w:szCs w:val="32"/>
          <w:lang w:val="en-US" w:eastAsia="zh-CN"/>
        </w:rPr>
        <w:t>反复</w:t>
      </w:r>
      <w:r>
        <w:rPr>
          <w:rFonts w:hint="default" w:ascii="仿宋" w:hAnsi="仿宋" w:eastAsia="仿宋" w:cs="仿宋"/>
          <w:color w:val="000000"/>
          <w:spacing w:val="6"/>
          <w:sz w:val="32"/>
          <w:szCs w:val="32"/>
          <w:lang w:val="en-US" w:eastAsia="zh-CN"/>
        </w:rPr>
        <w:t>讨论修改，202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年6月编制出</w:t>
      </w:r>
      <w:r>
        <w:rPr>
          <w:rFonts w:hint="eastAsia" w:ascii="仿宋" w:hAnsi="仿宋" w:eastAsia="仿宋" w:cs="仿宋"/>
          <w:color w:val="000000"/>
          <w:spacing w:val="6"/>
          <w:sz w:val="32"/>
          <w:szCs w:val="32"/>
          <w:lang w:val="en-US" w:eastAsia="zh-CN"/>
        </w:rPr>
        <w:t>南阳市地方标准</w:t>
      </w:r>
      <w:r>
        <w:rPr>
          <w:rFonts w:hint="eastAsia" w:ascii="仿宋_GB2312" w:hAnsi="Times New Roman" w:eastAsia="仿宋_GB2312" w:cs="Times New Roman"/>
          <w:kern w:val="0"/>
          <w:sz w:val="32"/>
          <w:szCs w:val="32"/>
          <w:lang w:val="en-US" w:eastAsia="zh-CN" w:bidi="ar-SA"/>
        </w:rPr>
        <w:t>《文博场馆陈列展览管理规范》</w:t>
      </w:r>
      <w:r>
        <w:rPr>
          <w:rFonts w:hint="default" w:ascii="仿宋" w:hAnsi="仿宋" w:eastAsia="仿宋" w:cs="仿宋"/>
          <w:color w:val="000000"/>
          <w:spacing w:val="6"/>
          <w:sz w:val="32"/>
          <w:szCs w:val="32"/>
          <w:lang w:val="en-US" w:eastAsia="zh-CN"/>
        </w:rPr>
        <w:t>征求意见稿。</w:t>
      </w:r>
    </w:p>
    <w:p w14:paraId="76C904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黑体" w:hAnsi="黑体" w:eastAsia="黑体" w:cs="黑体"/>
          <w:color w:val="000000" w:themeColor="text1"/>
          <w:kern w:val="2"/>
          <w:sz w:val="32"/>
          <w:szCs w:val="24"/>
          <w:lang w:val="en-US" w:eastAsia="zh-CN" w:bidi="ar-SA"/>
          <w14:textFill>
            <w14:solidFill>
              <w14:schemeClr w14:val="tx1"/>
            </w14:solidFill>
          </w14:textFill>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四、主要内容的确定(包括重大分歧意见的处理）</w:t>
      </w:r>
    </w:p>
    <w:p w14:paraId="117444E1">
      <w:pPr>
        <w:keepNext w:val="0"/>
        <w:keepLines w:val="0"/>
        <w:pageBreakBefore w:val="0"/>
        <w:widowControl w:val="0"/>
        <w:kinsoku/>
        <w:wordWrap/>
        <w:overflowPunct/>
        <w:topLinePunct w:val="0"/>
        <w:autoSpaceDE/>
        <w:autoSpaceDN/>
        <w:bidi w:val="0"/>
        <w:spacing w:line="240" w:lineRule="auto"/>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南阳市博物院《文博场馆陈列展览管理规范》标准制订小组，立足</w:t>
      </w:r>
      <w:r>
        <w:rPr>
          <w:rFonts w:hint="eastAsia" w:eastAsia="仿宋"/>
          <w:color w:val="000000" w:themeColor="text1"/>
          <w:sz w:val="32"/>
          <w:szCs w:val="24"/>
          <w14:textFill>
            <w14:solidFill>
              <w14:schemeClr w14:val="tx1"/>
            </w14:solidFill>
          </w14:textFill>
        </w:rPr>
        <w:t>南阳市博物</w:t>
      </w:r>
      <w:r>
        <w:rPr>
          <w:rFonts w:hint="eastAsia" w:eastAsia="仿宋"/>
          <w:color w:val="000000" w:themeColor="text1"/>
          <w:sz w:val="32"/>
          <w:szCs w:val="24"/>
          <w:lang w:val="en-US" w:eastAsia="zh-CN"/>
          <w14:textFill>
            <w14:solidFill>
              <w14:schemeClr w14:val="tx1"/>
            </w14:solidFill>
          </w14:textFill>
        </w:rPr>
        <w:t>院</w:t>
      </w:r>
      <w:r>
        <w:rPr>
          <w:rFonts w:hint="eastAsia" w:eastAsia="仿宋"/>
          <w:color w:val="000000" w:themeColor="text1"/>
          <w:sz w:val="32"/>
          <w:szCs w:val="24"/>
          <w:lang w:eastAsia="zh-CN"/>
          <w14:textFill>
            <w14:solidFill>
              <w14:schemeClr w14:val="tx1"/>
            </w14:solidFill>
          </w14:textFill>
        </w:rPr>
        <w:t>、张衡博物馆、南阳知府衙门博物馆</w:t>
      </w:r>
      <w:r>
        <w:rPr>
          <w:rFonts w:hint="eastAsia" w:eastAsia="仿宋"/>
          <w:color w:val="000000" w:themeColor="text1"/>
          <w:sz w:val="32"/>
          <w:szCs w:val="24"/>
          <w:lang w:val="en-US" w:eastAsia="zh-CN"/>
          <w14:textFill>
            <w14:solidFill>
              <w14:schemeClr w14:val="tx1"/>
            </w14:solidFill>
          </w14:textFill>
        </w:rPr>
        <w:t>数字化项目，借鉴</w:t>
      </w:r>
      <w:r>
        <w:rPr>
          <w:rFonts w:hint="eastAsia" w:eastAsia="仿宋"/>
          <w:color w:val="000000" w:themeColor="text1"/>
          <w:sz w:val="32"/>
          <w:szCs w:val="24"/>
          <w:lang w:eastAsia="zh-CN"/>
          <w14:textFill>
            <w14:solidFill>
              <w14:schemeClr w14:val="tx1"/>
            </w14:solidFill>
          </w14:textFill>
        </w:rPr>
        <w:t>南阳市汉画馆、南阳武侯祠博物馆、医圣祠博物馆</w:t>
      </w:r>
      <w:r>
        <w:rPr>
          <w:rFonts w:hint="eastAsia" w:eastAsia="仿宋"/>
          <w:color w:val="000000" w:themeColor="text1"/>
          <w:sz w:val="32"/>
          <w:szCs w:val="24"/>
          <w14:textFill>
            <w14:solidFill>
              <w14:schemeClr w14:val="tx1"/>
            </w14:solidFill>
          </w14:textFill>
        </w:rPr>
        <w:t>等文博</w:t>
      </w:r>
      <w:r>
        <w:rPr>
          <w:rFonts w:hint="eastAsia" w:eastAsia="仿宋"/>
          <w:color w:val="000000" w:themeColor="text1"/>
          <w:sz w:val="32"/>
          <w:szCs w:val="24"/>
          <w:lang w:eastAsia="zh-CN"/>
          <w14:textFill>
            <w14:solidFill>
              <w14:schemeClr w14:val="tx1"/>
            </w14:solidFill>
          </w14:textFill>
        </w:rPr>
        <w:t>系统及文博</w:t>
      </w:r>
      <w:r>
        <w:rPr>
          <w:rFonts w:hint="eastAsia" w:eastAsia="仿宋"/>
          <w:color w:val="000000" w:themeColor="text1"/>
          <w:sz w:val="32"/>
          <w:szCs w:val="24"/>
          <w14:textFill>
            <w14:solidFill>
              <w14:schemeClr w14:val="tx1"/>
            </w14:solidFill>
          </w14:textFill>
        </w:rPr>
        <w:t>景区的</w:t>
      </w:r>
      <w:r>
        <w:rPr>
          <w:rFonts w:hint="eastAsia" w:eastAsia="仿宋"/>
          <w:color w:val="000000" w:themeColor="text1"/>
          <w:sz w:val="32"/>
          <w:szCs w:val="24"/>
          <w:lang w:val="en-US" w:eastAsia="zh-CN"/>
          <w14:textFill>
            <w14:solidFill>
              <w14:schemeClr w14:val="tx1"/>
            </w14:solidFill>
          </w14:textFill>
        </w:rPr>
        <w:t>陈列展览工作</w:t>
      </w:r>
      <w:r>
        <w:rPr>
          <w:rFonts w:hint="eastAsia" w:eastAsia="仿宋"/>
          <w:color w:val="000000" w:themeColor="text1"/>
          <w:sz w:val="32"/>
          <w:szCs w:val="24"/>
          <w14:textFill>
            <w14:solidFill>
              <w14:schemeClr w14:val="tx1"/>
            </w14:solidFill>
          </w14:textFill>
        </w:rPr>
        <w:t>经验和成绩，并</w:t>
      </w:r>
      <w:r>
        <w:rPr>
          <w:rFonts w:hint="eastAsia" w:eastAsia="仿宋"/>
          <w:color w:val="000000" w:themeColor="text1"/>
          <w:sz w:val="32"/>
          <w:szCs w:val="24"/>
          <w:lang w:val="en-US" w:eastAsia="zh-CN"/>
          <w14:textFill>
            <w14:solidFill>
              <w14:schemeClr w14:val="tx1"/>
            </w14:solidFill>
          </w14:textFill>
        </w:rPr>
        <w:t>对王晓杰、牛宏成、黄迎光、包明军、李冬生、陶亮、许保仓</w:t>
      </w:r>
      <w:r>
        <w:rPr>
          <w:rFonts w:hint="eastAsia" w:ascii="仿宋_GB2312" w:hAnsi="Times New Roman" w:eastAsia="仿宋_GB2312" w:cs="Times New Roman"/>
          <w:kern w:val="0"/>
          <w:sz w:val="32"/>
          <w:szCs w:val="32"/>
          <w:lang w:val="en-US" w:eastAsia="zh-CN" w:bidi="ar-SA"/>
        </w:rPr>
        <w:t>专家们提出的细节性修改意见，予以完善和补充</w:t>
      </w:r>
      <w:r>
        <w:rPr>
          <w:rFonts w:hint="eastAsia" w:ascii="仿宋_GB2312" w:hAnsi="仿宋_GB2312" w:eastAsia="仿宋_GB2312" w:cs="仿宋_GB2312"/>
          <w:kern w:val="0"/>
          <w:sz w:val="32"/>
          <w:szCs w:val="32"/>
          <w:lang w:val="en-US" w:eastAsia="zh-CN" w:bidi="ar-SA"/>
        </w:rPr>
        <w:t>。</w:t>
      </w:r>
    </w:p>
    <w:p w14:paraId="4BCD21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该标准草案从陈列展览流程管理、技术要求、评估与改进、分级管理等方面提出南阳文博系统数字化应用的具体要求。</w:t>
      </w:r>
    </w:p>
    <w:p w14:paraId="06B6B9B2">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五、</w:t>
      </w:r>
      <w:r>
        <w:rPr>
          <w:rFonts w:hint="eastAsia" w:ascii="Times New Roman" w:hAnsi="Times New Roman" w:eastAsia="黑体" w:cs="Times New Roman"/>
          <w:kern w:val="0"/>
          <w:sz w:val="32"/>
          <w:szCs w:val="32"/>
          <w:lang w:val="en-US" w:eastAsia="zh-CN"/>
        </w:rPr>
        <w:t>采</w:t>
      </w:r>
      <w:r>
        <w:rPr>
          <w:rFonts w:hint="default" w:ascii="Times New Roman" w:hAnsi="Times New Roman" w:eastAsia="黑体" w:cs="Times New Roman"/>
          <w:kern w:val="0"/>
          <w:sz w:val="32"/>
          <w:szCs w:val="32"/>
          <w:lang w:val="en-US" w:eastAsia="zh-CN"/>
        </w:rPr>
        <w:t>标情况</w:t>
      </w:r>
    </w:p>
    <w:p w14:paraId="27F6D189">
      <w:pPr>
        <w:keepNext w:val="0"/>
        <w:keepLines w:val="0"/>
        <w:pageBreakBefore w:val="0"/>
        <w:widowControl w:val="0"/>
        <w:kinsoku/>
        <w:wordWrap/>
        <w:overflowPunct/>
        <w:topLinePunct w:val="0"/>
        <w:autoSpaceDE/>
        <w:autoSpaceDN/>
        <w:bidi w:val="0"/>
        <w:spacing w:line="240" w:lineRule="auto"/>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无采用国际标准和国外先进标准。</w:t>
      </w:r>
    </w:p>
    <w:p w14:paraId="52FA751F">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六、重大意见分歧的处理</w:t>
      </w:r>
    </w:p>
    <w:p w14:paraId="27ADFB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64" w:firstLineChars="200"/>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本标准在编写过程中无重大意见分歧。</w:t>
      </w:r>
    </w:p>
    <w:p w14:paraId="0BAA8C61">
      <w:pPr>
        <w:snapToGrid w:val="0"/>
        <w:spacing w:line="460" w:lineRule="exact"/>
        <w:ind w:firstLine="627" w:firstLineChars="196"/>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七、与国家法律法规和强制性标准的关系</w:t>
      </w:r>
    </w:p>
    <w:p w14:paraId="2408B338">
      <w:pPr>
        <w:keepNext w:val="0"/>
        <w:keepLines w:val="0"/>
        <w:pageBreakBefore w:val="0"/>
        <w:widowControl w:val="0"/>
        <w:kinsoku/>
        <w:wordWrap/>
        <w:overflowPunct/>
        <w:topLinePunct w:val="0"/>
        <w:autoSpaceDE/>
        <w:autoSpaceDN/>
        <w:bidi w:val="0"/>
        <w:adjustRightInd/>
        <w:spacing w:line="240" w:lineRule="auto"/>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w:t>
      </w:r>
      <w:r>
        <w:rPr>
          <w:rFonts w:hint="eastAsia" w:eastAsia="仿宋"/>
          <w:color w:val="000000" w:themeColor="text1"/>
          <w:sz w:val="32"/>
          <w:szCs w:val="24"/>
          <w14:textFill>
            <w14:solidFill>
              <w14:schemeClr w14:val="tx1"/>
            </w14:solidFill>
          </w14:textFill>
        </w:rPr>
        <w:t>严格遵循国家相关法律法规，以GB/T 1.1—20</w:t>
      </w:r>
      <w:r>
        <w:rPr>
          <w:rFonts w:hint="eastAsia" w:eastAsia="仿宋"/>
          <w:color w:val="000000" w:themeColor="text1"/>
          <w:sz w:val="32"/>
          <w:szCs w:val="24"/>
          <w:lang w:val="en-US" w:eastAsia="zh-CN"/>
          <w14:textFill>
            <w14:solidFill>
              <w14:schemeClr w14:val="tx1"/>
            </w14:solidFill>
          </w14:textFill>
        </w:rPr>
        <w:t>20</w:t>
      </w:r>
      <w:r>
        <w:rPr>
          <w:rFonts w:hint="eastAsia" w:eastAsia="仿宋"/>
          <w:color w:val="000000" w:themeColor="text1"/>
          <w:sz w:val="32"/>
          <w:szCs w:val="24"/>
          <w14:textFill>
            <w14:solidFill>
              <w14:schemeClr w14:val="tx1"/>
            </w14:solidFill>
          </w14:textFill>
        </w:rPr>
        <w:t>为</w:t>
      </w:r>
      <w:r>
        <w:rPr>
          <w:rFonts w:hint="eastAsia" w:eastAsia="仿宋"/>
          <w:color w:val="000000" w:themeColor="text1"/>
          <w:sz w:val="32"/>
          <w:szCs w:val="24"/>
          <w:lang w:val="en-US" w:eastAsia="zh-CN"/>
          <w14:textFill>
            <w14:solidFill>
              <w14:schemeClr w14:val="tx1"/>
            </w14:solidFill>
          </w14:textFill>
        </w:rPr>
        <w:t>原则</w:t>
      </w:r>
      <w:r>
        <w:rPr>
          <w:rFonts w:hint="eastAsia" w:eastAsia="仿宋"/>
          <w:color w:val="000000" w:themeColor="text1"/>
          <w:sz w:val="32"/>
          <w:szCs w:val="24"/>
          <w14:textFill>
            <w14:solidFill>
              <w14:schemeClr w14:val="tx1"/>
            </w14:solidFill>
          </w14:textFill>
        </w:rPr>
        <w:t>，符合标准化工作导则。</w:t>
      </w:r>
      <w:r>
        <w:rPr>
          <w:rFonts w:hint="default" w:ascii="仿宋" w:hAnsi="仿宋" w:eastAsia="仿宋" w:cs="仿宋"/>
          <w:color w:val="000000"/>
          <w:spacing w:val="6"/>
          <w:sz w:val="32"/>
          <w:szCs w:val="32"/>
          <w:lang w:val="en-US" w:eastAsia="zh-CN"/>
        </w:rPr>
        <w:t>经查询暂无与本项目相关的强制性标准。</w:t>
      </w:r>
    </w:p>
    <w:p w14:paraId="25FFB0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黑体" w:hAnsi="黑体" w:eastAsia="黑体" w:cs="黑体"/>
          <w:color w:val="000000" w:themeColor="text1"/>
          <w:kern w:val="2"/>
          <w:sz w:val="32"/>
          <w:szCs w:val="24"/>
          <w:lang w:val="en-US" w:eastAsia="zh-CN" w:bidi="ar-SA"/>
          <w14:textFill>
            <w14:solidFill>
              <w14:schemeClr w14:val="tx1"/>
            </w14:solidFill>
          </w14:textFill>
        </w:rPr>
      </w:pPr>
      <w:r>
        <w:rPr>
          <w:rFonts w:hint="eastAsia" w:ascii="黑体" w:hAnsi="黑体" w:eastAsia="黑体" w:cs="黑体"/>
          <w:color w:val="000000" w:themeColor="text1"/>
          <w:kern w:val="2"/>
          <w:sz w:val="32"/>
          <w:szCs w:val="24"/>
          <w:lang w:val="en-US" w:eastAsia="zh-CN" w:bidi="ar-SA"/>
          <w14:textFill>
            <w14:solidFill>
              <w14:schemeClr w14:val="tx1"/>
            </w14:solidFill>
          </w14:textFill>
        </w:rPr>
        <w:t>八、标准实施的建议</w:t>
      </w:r>
    </w:p>
    <w:p w14:paraId="19DF2E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建议在南阳市各博物馆、文博系统及景区结合自身情况推广使用。</w:t>
      </w:r>
    </w:p>
    <w:p w14:paraId="2A3097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p w14:paraId="2E8EF4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 xml:space="preserve">         </w:t>
      </w:r>
    </w:p>
    <w:p w14:paraId="78EE8E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1600" w:firstLineChars="50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 xml:space="preserve"> 《文博场馆陈列展览管理规范》标准起草小组</w:t>
      </w:r>
    </w:p>
    <w:p w14:paraId="7A864B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4800" w:firstLineChars="1500"/>
        <w:rPr>
          <w:rFonts w:hint="default"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2025年6月16日</w:t>
      </w:r>
    </w:p>
    <w:p w14:paraId="5C9F8B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p w14:paraId="1FDEDD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DFDFE"/>
        <w:spacing w:before="0" w:beforeAutospacing="0" w:after="0" w:afterAutospacing="0" w:line="26" w:lineRule="atLeast"/>
        <w:ind w:right="0" w:firstLine="640" w:firstLineChars="200"/>
        <w:rPr>
          <w:rFonts w:hint="eastAsia" w:ascii="仿宋_GB2312" w:hAnsi="Times New Roman" w:eastAsia="仿宋_GB2312" w:cs="Times New Roman"/>
          <w:kern w:val="0"/>
          <w:sz w:val="32"/>
          <w:szCs w:val="32"/>
          <w:lang w:val="en-US" w:eastAsia="zh-CN" w:bidi="ar-SA"/>
        </w:rPr>
      </w:pPr>
    </w:p>
    <w:p w14:paraId="260B6E01">
      <w:pPr>
        <w:ind w:firstLine="420" w:firstLineChars="200"/>
        <w:rPr>
          <w:rFonts w:hint="eastAsia" w:ascii="宋体" w:hAnsi="宋体" w:eastAsia="宋体" w:cs="Times New Roman"/>
          <w:szCs w:val="21"/>
          <w:lang w:val="en-US" w:eastAsia="zh-CN"/>
        </w:rPr>
      </w:pPr>
    </w:p>
    <w:p w14:paraId="231675A2">
      <w:pPr>
        <w:ind w:firstLine="420" w:firstLineChars="200"/>
        <w:rPr>
          <w:rFonts w:hint="eastAsia" w:ascii="宋体" w:hAnsi="宋体" w:eastAsia="宋体" w:cs="Times New Roman"/>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850D1A-23ED-48BC-9B63-4534550189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68490A9-0644-45A3-AD1B-E28C4A8B2606}"/>
  </w:font>
  <w:font w:name="方正小标宋简体">
    <w:panose1 w:val="02000000000000000000"/>
    <w:charset w:val="86"/>
    <w:family w:val="script"/>
    <w:pitch w:val="default"/>
    <w:sig w:usb0="00000001" w:usb1="08000000" w:usb2="00000000" w:usb3="00000000" w:csb0="00040000" w:csb1="00000000"/>
    <w:embedRegular r:id="rId3" w:fontKey="{BEFBC484-2271-4FE8-BBB7-6E295F34A19C}"/>
  </w:font>
  <w:font w:name="仿宋_GB2312">
    <w:altName w:val="仿宋"/>
    <w:panose1 w:val="02010609030101010101"/>
    <w:charset w:val="86"/>
    <w:family w:val="modern"/>
    <w:pitch w:val="default"/>
    <w:sig w:usb0="00000000" w:usb1="00000000" w:usb2="00000010" w:usb3="00000000" w:csb0="00040000" w:csb1="00000000"/>
    <w:embedRegular r:id="rId4" w:fontKey="{93520620-3E14-4822-A53B-99EC7511C2F6}"/>
  </w:font>
  <w:font w:name="仿宋">
    <w:panose1 w:val="02010609060101010101"/>
    <w:charset w:val="86"/>
    <w:family w:val="auto"/>
    <w:pitch w:val="default"/>
    <w:sig w:usb0="800002BF" w:usb1="38CF7CFA" w:usb2="00000016" w:usb3="00000000" w:csb0="00040001" w:csb1="00000000"/>
    <w:embedRegular r:id="rId5" w:fontKey="{965150E3-9821-445E-B10B-C6B8A6228465}"/>
  </w:font>
  <w:font w:name="方正楷体_GB2312">
    <w:panose1 w:val="02000000000000000000"/>
    <w:charset w:val="86"/>
    <w:family w:val="auto"/>
    <w:pitch w:val="default"/>
    <w:sig w:usb0="A00002BF" w:usb1="184F6CFA" w:usb2="00000012" w:usb3="00000000" w:csb0="00040001" w:csb1="00000000"/>
    <w:embedRegular r:id="rId6" w:fontKey="{B9406304-9DC9-45E1-B862-314560187F4E}"/>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CFBDB"/>
    <w:multiLevelType w:val="singleLevel"/>
    <w:tmpl w:val="EBDCFBDB"/>
    <w:lvl w:ilvl="0" w:tentative="0">
      <w:start w:val="2"/>
      <w:numFmt w:val="chineseCounting"/>
      <w:suff w:val="nothing"/>
      <w:lvlText w:val="（%1）"/>
      <w:lvlJc w:val="left"/>
      <w:rPr>
        <w:rFonts w:hint="eastAsia"/>
      </w:rPr>
    </w:lvl>
  </w:abstractNum>
  <w:abstractNum w:abstractNumId="1">
    <w:nsid w:val="FE5D507F"/>
    <w:multiLevelType w:val="singleLevel"/>
    <w:tmpl w:val="FE5D507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A2C65"/>
    <w:rsid w:val="01495B88"/>
    <w:rsid w:val="0B5C2700"/>
    <w:rsid w:val="140D193D"/>
    <w:rsid w:val="19476868"/>
    <w:rsid w:val="1D0D3C24"/>
    <w:rsid w:val="247B4D1D"/>
    <w:rsid w:val="28612632"/>
    <w:rsid w:val="2E33681F"/>
    <w:rsid w:val="2F041F69"/>
    <w:rsid w:val="33DA2C65"/>
    <w:rsid w:val="34FF745B"/>
    <w:rsid w:val="407226FB"/>
    <w:rsid w:val="480E3847"/>
    <w:rsid w:val="490E3CB9"/>
    <w:rsid w:val="4A396482"/>
    <w:rsid w:val="4DB0533F"/>
    <w:rsid w:val="53400F13"/>
    <w:rsid w:val="54996B2C"/>
    <w:rsid w:val="58896EB8"/>
    <w:rsid w:val="5A21266A"/>
    <w:rsid w:val="66D9725C"/>
    <w:rsid w:val="69E95A08"/>
    <w:rsid w:val="6F72024E"/>
    <w:rsid w:val="70305928"/>
    <w:rsid w:val="73441F01"/>
    <w:rsid w:val="756D6053"/>
    <w:rsid w:val="7AA75347"/>
    <w:rsid w:val="7C224DAA"/>
    <w:rsid w:val="7C440408"/>
    <w:rsid w:val="7EDA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2477</Words>
  <Characters>2526</Characters>
  <Lines>0</Lines>
  <Paragraphs>0</Paragraphs>
  <TotalTime>1</TotalTime>
  <ScaleCrop>false</ScaleCrop>
  <LinksUpToDate>false</LinksUpToDate>
  <CharactersWithSpaces>2537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2025-06-03T06:58:00Z</dcterms:created>
  <dc:creator>芭蕉</dc:creator>
  <cp:lastModifiedBy>芭蕉</cp:lastModifiedBy>
  <dcterms:modified xsi:type="dcterms:W3CDTF">2025-06-27T08:11:59Z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B2E385CD28C64D1DB76864F8EE898B92_11</vt:lpwstr>
  </property>
  <property fmtid="{D5CDD505-2E9C-101B-9397-08002B2CF9AE}" pid="4" name="KSOTemplateDocerSaveRecord">
    <vt:lpwstr>eyJoZGlkIjoiZmFjOWM5ZDNiYzNiYjE5OWI2MmFiNGU4NDM4MDkxNzQiLCJ1c2VySWQiOiIxMDMyNDczNDY3In0=</vt:lpwstr>
  </property>
</Properties>
</file>