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00D69" w14:paraId="63A19A90" w14:textId="77777777">
        <w:tc>
          <w:tcPr>
            <w:tcW w:w="509" w:type="dxa"/>
          </w:tcPr>
          <w:p w14:paraId="4D4B7B26" w14:textId="77777777" w:rsidR="00400D6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3C04EF3" w14:textId="77777777" w:rsidR="00400D6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400D69" w14:paraId="0B408F68" w14:textId="77777777">
        <w:tc>
          <w:tcPr>
            <w:tcW w:w="509" w:type="dxa"/>
          </w:tcPr>
          <w:p w14:paraId="49B381CB" w14:textId="77777777" w:rsidR="00400D6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6872FC7" w14:textId="77777777" w:rsidR="00400D6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00D69" w14:paraId="57EF3C37" w14:textId="77777777">
        <w:tc>
          <w:tcPr>
            <w:tcW w:w="6407" w:type="dxa"/>
          </w:tcPr>
          <w:p w14:paraId="46CA3F67" w14:textId="77777777" w:rsidR="00400D69"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1FED1AF" wp14:editId="27BEE31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4113</w:t>
            </w:r>
            <w:r>
              <w:fldChar w:fldCharType="end"/>
            </w:r>
            <w:bookmarkEnd w:id="3"/>
          </w:p>
        </w:tc>
      </w:tr>
    </w:tbl>
    <w:p w14:paraId="0FE5F61B" w14:textId="77777777" w:rsidR="00400D69"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南阳市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41F2169" w14:textId="77777777" w:rsidR="00400D69" w:rsidRDefault="00000000">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4113/T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14:paraId="39516414" w14:textId="77777777" w:rsidR="00400D69" w:rsidRDefault="00400D69">
      <w:pPr>
        <w:pStyle w:val="affffffffff4"/>
        <w:framePr w:wrap="auto"/>
        <w:rPr>
          <w:rFonts w:hAnsi="黑体" w:hint="eastAsia"/>
        </w:rPr>
      </w:pPr>
    </w:p>
    <w:p w14:paraId="0279302E" w14:textId="77777777" w:rsidR="00400D6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11BC6BF" wp14:editId="01A47DD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E3A112D" w14:textId="77777777" w:rsidR="00400D69" w:rsidRDefault="00400D69">
      <w:pPr>
        <w:pStyle w:val="afffff1"/>
        <w:framePr w:w="9639" w:h="6976" w:hRule="exact" w:hSpace="0" w:vSpace="0" w:wrap="around" w:hAnchor="page" w:y="6408"/>
        <w:jc w:val="center"/>
        <w:rPr>
          <w:rFonts w:ascii="黑体" w:eastAsia="黑体" w:hAnsi="黑体" w:hint="eastAsia"/>
          <w:b w:val="0"/>
          <w:bCs w:val="0"/>
          <w:w w:val="100"/>
        </w:rPr>
      </w:pPr>
    </w:p>
    <w:p w14:paraId="14B1DB98" w14:textId="77777777" w:rsidR="00400D69"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文博场馆陈列展览管理规范</w:t>
      </w:r>
      <w:r>
        <w:fldChar w:fldCharType="end"/>
      </w:r>
      <w:bookmarkEnd w:id="8"/>
    </w:p>
    <w:p w14:paraId="06422486" w14:textId="77777777" w:rsidR="00400D69" w:rsidRDefault="00400D69">
      <w:pPr>
        <w:framePr w:w="9639" w:h="6974" w:hRule="exact" w:wrap="around" w:vAnchor="page" w:hAnchor="page" w:x="1419" w:y="6408" w:anchorLock="1"/>
        <w:ind w:left="-1418"/>
      </w:pPr>
    </w:p>
    <w:p w14:paraId="327FD50A" w14:textId="77777777" w:rsidR="00400D69" w:rsidRDefault="00400D69">
      <w:pPr>
        <w:pStyle w:val="afffffff9"/>
        <w:framePr w:w="9639" w:h="6974" w:hRule="exact" w:wrap="around" w:vAnchor="page" w:hAnchor="page" w:x="1419" w:y="6408" w:anchorLock="1"/>
        <w:textAlignment w:val="bottom"/>
        <w:rPr>
          <w:rFonts w:eastAsia="黑体"/>
          <w:szCs w:val="28"/>
        </w:rPr>
      </w:pPr>
    </w:p>
    <w:p w14:paraId="6D1CA87D" w14:textId="77777777" w:rsidR="00400D69" w:rsidRDefault="00400D69">
      <w:pPr>
        <w:framePr w:w="9639" w:h="6974" w:hRule="exact" w:wrap="around" w:vAnchor="page" w:hAnchor="page" w:x="1419" w:y="6408" w:anchorLock="1"/>
        <w:spacing w:line="760" w:lineRule="exact"/>
        <w:ind w:left="-1418"/>
      </w:pPr>
    </w:p>
    <w:p w14:paraId="7F78A4AA" w14:textId="77777777" w:rsidR="00400D69" w:rsidRDefault="00400D69">
      <w:pPr>
        <w:pStyle w:val="afffffff9"/>
        <w:framePr w:w="9639" w:h="6974" w:hRule="exact" w:wrap="around" w:vAnchor="page" w:hAnchor="page" w:x="1419" w:y="6408" w:anchorLock="1"/>
        <w:textAlignment w:val="bottom"/>
        <w:rPr>
          <w:rFonts w:eastAsia="黑体"/>
          <w:szCs w:val="28"/>
        </w:rPr>
      </w:pPr>
    </w:p>
    <w:p w14:paraId="52520545" w14:textId="77777777" w:rsidR="00400D69"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2FA0F71E" w14:textId="77777777" w:rsidR="00400D69" w:rsidRDefault="00400D69">
      <w:pPr>
        <w:pStyle w:val="afffffff9"/>
        <w:framePr w:w="9639" w:h="6974" w:hRule="exact" w:wrap="around" w:vAnchor="page" w:hAnchor="page" w:x="1419" w:y="6408" w:anchorLock="1"/>
        <w:spacing w:before="180" w:line="240" w:lineRule="atLeast"/>
        <w:textAlignment w:val="bottom"/>
        <w:rPr>
          <w:sz w:val="21"/>
          <w:szCs w:val="28"/>
        </w:rPr>
      </w:pPr>
    </w:p>
    <w:p w14:paraId="4D350593" w14:textId="77777777" w:rsidR="00400D69" w:rsidRDefault="00400D69">
      <w:pPr>
        <w:pStyle w:val="afffffff9"/>
        <w:framePr w:w="9639" w:h="6974" w:hRule="exact" w:wrap="around" w:vAnchor="page" w:hAnchor="page" w:x="1419" w:y="6408" w:anchorLock="1"/>
        <w:spacing w:beforeLines="300" w:before="720" w:afterLines="30" w:after="72" w:line="240" w:lineRule="auto"/>
        <w:textAlignment w:val="bottom"/>
        <w:rPr>
          <w:b/>
          <w:sz w:val="21"/>
          <w:szCs w:val="28"/>
        </w:rPr>
      </w:pPr>
    </w:p>
    <w:p w14:paraId="0623C3C7" w14:textId="77777777" w:rsidR="00400D69"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251A67EF" w14:textId="77777777" w:rsidR="00400D69"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01120FF9" w14:textId="77777777" w:rsidR="00400D69" w:rsidRDefault="00000000">
      <w:pPr>
        <w:pStyle w:val="affffffff9"/>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南阳市市场监督管理局</w:t>
      </w:r>
      <w:r>
        <w:rPr>
          <w:rFonts w:hAnsi="黑体"/>
          <w:w w:val="100"/>
          <w:sz w:val="28"/>
        </w:rPr>
        <w:fldChar w:fldCharType="end"/>
      </w:r>
      <w:bookmarkEnd w:id="16"/>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2CFB7643" w14:textId="77777777" w:rsidR="00400D69" w:rsidRDefault="00000000">
      <w:pPr>
        <w:rPr>
          <w:rFonts w:ascii="宋体" w:hAnsi="宋体" w:hint="eastAsia"/>
          <w:sz w:val="28"/>
          <w:szCs w:val="28"/>
        </w:rPr>
        <w:sectPr w:rsidR="00400D6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E7D06B0" wp14:editId="3D76566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5F4A1A9" w14:textId="77777777" w:rsidR="00400D69" w:rsidRDefault="00000000">
      <w:pPr>
        <w:pStyle w:val="a6"/>
        <w:spacing w:after="468"/>
      </w:pPr>
      <w:bookmarkStart w:id="17" w:name="BookMark2"/>
      <w:r>
        <w:rPr>
          <w:spacing w:val="320"/>
        </w:rPr>
        <w:lastRenderedPageBreak/>
        <w:t>前</w:t>
      </w:r>
      <w:r>
        <w:t>言</w:t>
      </w:r>
    </w:p>
    <w:p w14:paraId="54EAB403" w14:textId="77777777" w:rsidR="00400D69" w:rsidRDefault="00000000">
      <w:pPr>
        <w:pStyle w:val="afffff6"/>
        <w:ind w:firstLine="420"/>
      </w:pPr>
      <w:r>
        <w:rPr>
          <w:rFonts w:hint="eastAsia"/>
        </w:rPr>
        <w:t>本文件按照GB/T 1.1—2020《标准化工作导则  第1部分：标准化文件的结构和起草规则》的规定起草。</w:t>
      </w:r>
    </w:p>
    <w:p w14:paraId="4B08B08E" w14:textId="77777777" w:rsidR="00400D69" w:rsidRDefault="00000000">
      <w:pPr>
        <w:pStyle w:val="afffff6"/>
        <w:ind w:firstLine="420"/>
      </w:pPr>
      <w:r>
        <w:rPr>
          <w:rFonts w:hint="eastAsia"/>
        </w:rPr>
        <w:t>本文件由南阳市文化广电和旅游局提出并归口。</w:t>
      </w:r>
    </w:p>
    <w:p w14:paraId="276A0CC8" w14:textId="77777777" w:rsidR="00400D69" w:rsidRDefault="00000000">
      <w:pPr>
        <w:pStyle w:val="afffff6"/>
        <w:ind w:firstLine="420"/>
      </w:pPr>
      <w:r>
        <w:rPr>
          <w:rFonts w:hint="eastAsia"/>
        </w:rPr>
        <w:t>本文件起草单位：南阳市博物院。</w:t>
      </w:r>
    </w:p>
    <w:p w14:paraId="2A791C4A" w14:textId="77777777" w:rsidR="00400D69" w:rsidRDefault="00000000">
      <w:pPr>
        <w:pStyle w:val="afffff6"/>
        <w:ind w:firstLine="420"/>
      </w:pPr>
      <w:r>
        <w:rPr>
          <w:rFonts w:hint="eastAsia"/>
        </w:rPr>
        <w:t>本文件主要起草人：</w:t>
      </w:r>
      <w:r>
        <w:rPr>
          <w:rFonts w:hAnsi="宋体" w:hint="eastAsia"/>
          <w:szCs w:val="21"/>
        </w:rPr>
        <w:t>李远、</w:t>
      </w:r>
      <w:r>
        <w:rPr>
          <w:rFonts w:hint="eastAsia"/>
        </w:rPr>
        <w:t>韩梅、林丽霞、郭靖、吴景蕊、杨志玲、王克、刘林、陈静</w:t>
      </w:r>
    </w:p>
    <w:p w14:paraId="033F0F3D" w14:textId="77777777" w:rsidR="00400D69" w:rsidRDefault="00000000">
      <w:r>
        <w:rPr>
          <w:rFonts w:hint="eastAsia"/>
        </w:rPr>
        <w:br w:type="page"/>
      </w:r>
    </w:p>
    <w:p w14:paraId="25384E29" w14:textId="77777777" w:rsidR="00400D69" w:rsidRDefault="00400D69">
      <w:pPr>
        <w:pStyle w:val="a6"/>
        <w:spacing w:after="468"/>
      </w:pPr>
    </w:p>
    <w:p w14:paraId="7C1B3ACF" w14:textId="77777777" w:rsidR="00400D69" w:rsidRDefault="00000000">
      <w:pPr>
        <w:pStyle w:val="a6"/>
        <w:numPr>
          <w:ilvl w:val="0"/>
          <w:numId w:val="0"/>
        </w:numPr>
        <w:spacing w:after="468"/>
      </w:pPr>
      <w:r>
        <w:rPr>
          <w:spacing w:val="320"/>
        </w:rPr>
        <w:t>引</w:t>
      </w:r>
      <w:r>
        <w:t>言</w:t>
      </w:r>
    </w:p>
    <w:p w14:paraId="3BAC05B8" w14:textId="77777777" w:rsidR="00400D69" w:rsidRDefault="00400D69">
      <w:pPr>
        <w:pStyle w:val="afffff6"/>
        <w:ind w:firstLine="420"/>
      </w:pPr>
    </w:p>
    <w:p w14:paraId="51643AAF" w14:textId="77777777" w:rsidR="00400D69" w:rsidRDefault="00400D69">
      <w:pPr>
        <w:ind w:firstLineChars="200" w:firstLine="420"/>
        <w:rPr>
          <w:rFonts w:ascii="宋体" w:hAnsi="宋体" w:hint="eastAsia"/>
        </w:rPr>
      </w:pPr>
    </w:p>
    <w:p w14:paraId="0D2C396C" w14:textId="77777777" w:rsidR="00400D69" w:rsidRDefault="00000000">
      <w:pPr>
        <w:pStyle w:val="afffff6"/>
        <w:ind w:firstLine="420"/>
        <w:rPr>
          <w:rFonts w:hAnsi="宋体" w:hint="eastAsia"/>
          <w:kern w:val="2"/>
          <w:szCs w:val="21"/>
        </w:rPr>
      </w:pPr>
      <w:r>
        <w:rPr>
          <w:rFonts w:hAnsi="宋体" w:hint="eastAsia"/>
          <w:kern w:val="2"/>
          <w:szCs w:val="21"/>
        </w:rPr>
        <w:t>为规范文博类场馆陈列展览工作，明确工作内容、规范工作流程、细化工作要求，指导展览策划、设计、实施、维护、评估等各个环节，确保展览内容的专业性、准确性、教育性和观赏性，保障文物安全，提升公众文化体验和教育价值，特制定《文博场馆陈列展览管理规范》。</w:t>
      </w:r>
    </w:p>
    <w:p w14:paraId="74A3A2A6" w14:textId="77777777" w:rsidR="00400D69" w:rsidRDefault="00400D69">
      <w:pPr>
        <w:pStyle w:val="afffff6"/>
        <w:ind w:firstLine="420"/>
      </w:pPr>
    </w:p>
    <w:p w14:paraId="44A39FE8" w14:textId="77777777" w:rsidR="00400D69" w:rsidRDefault="00400D69">
      <w:pPr>
        <w:pStyle w:val="afffff6"/>
        <w:ind w:firstLine="420"/>
        <w:sectPr w:rsidR="00400D69">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543A6CCF" w14:textId="77777777" w:rsidR="00400D69" w:rsidRDefault="00400D69">
      <w:pPr>
        <w:spacing w:line="20" w:lineRule="exact"/>
        <w:jc w:val="center"/>
        <w:rPr>
          <w:rFonts w:ascii="黑体" w:eastAsia="黑体" w:hAnsi="黑体" w:hint="eastAsia"/>
          <w:sz w:val="32"/>
          <w:szCs w:val="32"/>
        </w:rPr>
      </w:pPr>
      <w:bookmarkStart w:id="18" w:name="BookMark4"/>
      <w:bookmarkEnd w:id="17"/>
    </w:p>
    <w:p w14:paraId="606D1FC2" w14:textId="77777777" w:rsidR="00400D69" w:rsidRDefault="00400D69">
      <w:pPr>
        <w:spacing w:line="20" w:lineRule="exact"/>
        <w:jc w:val="center"/>
        <w:rPr>
          <w:rFonts w:ascii="黑体" w:eastAsia="黑体" w:hAnsi="黑体" w:hint="eastAsia"/>
          <w:sz w:val="32"/>
          <w:szCs w:val="32"/>
        </w:rPr>
      </w:pPr>
    </w:p>
    <w:bookmarkStart w:id="19" w:name="NEW_STAND_NAME" w:displacedByCustomXml="next"/>
    <w:sdt>
      <w:sdtPr>
        <w:tag w:val="NEW_STAND_NAME"/>
        <w:id w:val="595910757"/>
        <w:lock w:val="sdtLocked"/>
        <w:placeholder>
          <w:docPart w:val="48207E99AF564D79AD432858DCE58CFE"/>
        </w:placeholder>
      </w:sdtPr>
      <w:sdtContent>
        <w:p w14:paraId="55683828" w14:textId="77777777" w:rsidR="00400D69" w:rsidRDefault="00000000">
          <w:pPr>
            <w:pStyle w:val="afffffffff9"/>
            <w:spacing w:beforeLines="100" w:before="312" w:afterLines="220" w:after="686"/>
            <w:rPr>
              <w:rFonts w:hint="eastAsia"/>
            </w:rPr>
          </w:pPr>
          <w:r>
            <w:rPr>
              <w:rFonts w:ascii="宋体" w:hAnsi="宋体" w:hint="eastAsia"/>
              <w:szCs w:val="21"/>
            </w:rPr>
            <w:t>文博场馆陈列展览管理规范</w:t>
          </w:r>
        </w:p>
      </w:sdtContent>
    </w:sdt>
    <w:p w14:paraId="1A3F38D7" w14:textId="77777777" w:rsidR="00400D69" w:rsidRDefault="00000000">
      <w:pPr>
        <w:pStyle w:val="affc"/>
        <w:numPr>
          <w:ilvl w:val="1"/>
          <w:numId w:val="0"/>
        </w:numPr>
        <w:spacing w:before="312" w:after="312"/>
        <w:ind w:firstLineChars="200" w:firstLine="420"/>
      </w:pPr>
      <w:bookmarkStart w:id="20" w:name="_Toc17233325"/>
      <w:bookmarkStart w:id="21" w:name="_Toc26648465"/>
      <w:bookmarkStart w:id="22" w:name="_Toc17233333"/>
      <w:bookmarkStart w:id="23" w:name="_Toc26986771"/>
      <w:bookmarkStart w:id="24" w:name="_Toc24884218"/>
      <w:bookmarkStart w:id="25" w:name="_Toc26986530"/>
      <w:bookmarkStart w:id="26" w:name="_Toc97191423"/>
      <w:bookmarkStart w:id="27" w:name="_Toc24884211"/>
      <w:bookmarkStart w:id="28" w:name="_Toc26718930"/>
      <w:bookmarkEnd w:id="19"/>
      <w:r>
        <w:rPr>
          <w:rFonts w:hint="eastAsia"/>
        </w:rPr>
        <w:t>1.范围</w:t>
      </w:r>
      <w:bookmarkEnd w:id="20"/>
      <w:bookmarkEnd w:id="21"/>
      <w:bookmarkEnd w:id="22"/>
      <w:bookmarkEnd w:id="23"/>
      <w:bookmarkEnd w:id="24"/>
      <w:bookmarkEnd w:id="25"/>
      <w:bookmarkEnd w:id="26"/>
      <w:bookmarkEnd w:id="27"/>
      <w:bookmarkEnd w:id="28"/>
    </w:p>
    <w:p w14:paraId="06744F93" w14:textId="77777777" w:rsidR="00400D69" w:rsidRDefault="00000000">
      <w:pPr>
        <w:pStyle w:val="afffff6"/>
        <w:ind w:firstLine="420"/>
      </w:pPr>
      <w:bookmarkStart w:id="29" w:name="_Toc24884212"/>
      <w:bookmarkStart w:id="30" w:name="_Toc17233334"/>
      <w:bookmarkStart w:id="31" w:name="_Toc26648466"/>
      <w:bookmarkStart w:id="32" w:name="_Toc24884219"/>
      <w:bookmarkStart w:id="33" w:name="_Toc17233326"/>
      <w:r>
        <w:rPr>
          <w:rFonts w:hint="eastAsia"/>
        </w:rPr>
        <w:t>本文件规定了南阳文博类场馆常设展、临时展、巡回展、数字展、联合策展、非遗活态展示等展览问题处理原则，其他展览可参考使用。</w:t>
      </w:r>
    </w:p>
    <w:p w14:paraId="371D681C" w14:textId="77777777" w:rsidR="00400D69" w:rsidRDefault="00400D69">
      <w:pPr>
        <w:pStyle w:val="afffff6"/>
        <w:ind w:firstLine="420"/>
      </w:pPr>
    </w:p>
    <w:p w14:paraId="7E2FCC5D" w14:textId="7524624E" w:rsidR="00400D69" w:rsidRDefault="00000000">
      <w:pPr>
        <w:spacing w:line="240" w:lineRule="auto"/>
        <w:ind w:firstLineChars="200" w:firstLine="420"/>
      </w:pPr>
      <w:r>
        <w:rPr>
          <w:rFonts w:hint="eastAsia"/>
        </w:rPr>
        <w:t>本</w:t>
      </w:r>
      <w:r w:rsidR="00905E05">
        <w:rPr>
          <w:rFonts w:hint="eastAsia"/>
        </w:rPr>
        <w:t>文件</w:t>
      </w:r>
      <w:r>
        <w:rPr>
          <w:rFonts w:hint="eastAsia"/>
        </w:rPr>
        <w:t>适用于</w:t>
      </w:r>
      <w:r>
        <w:rPr>
          <w:rFonts w:ascii="宋体" w:hAnsi="宋体" w:cs="宋体" w:hint="eastAsia"/>
          <w:bCs/>
        </w:rPr>
        <w:t>南阳市域内国有博物馆、非国有博物馆、纪念馆、陈列馆等文博场馆，纳入备案管理的“类博物馆”（如行业展示馆、非遗工坊等），以及政府主导的临时展览及巡回展览项目管理</w:t>
      </w:r>
      <w:r>
        <w:rPr>
          <w:rFonts w:hint="eastAsia"/>
        </w:rPr>
        <w:t>工作。</w:t>
      </w:r>
    </w:p>
    <w:p w14:paraId="0AC015F5" w14:textId="77777777" w:rsidR="00400D69" w:rsidRDefault="00000000">
      <w:pPr>
        <w:pStyle w:val="affc"/>
        <w:numPr>
          <w:ilvl w:val="1"/>
          <w:numId w:val="0"/>
        </w:numPr>
        <w:spacing w:before="312" w:after="312"/>
        <w:ind w:firstLineChars="200" w:firstLine="420"/>
      </w:pPr>
      <w:bookmarkStart w:id="34" w:name="_Toc26986772"/>
      <w:bookmarkStart w:id="35" w:name="_Toc26718931"/>
      <w:bookmarkStart w:id="36" w:name="_Toc26986531"/>
      <w:bookmarkStart w:id="37" w:name="_Toc97191424"/>
      <w:r>
        <w:rPr>
          <w:rFonts w:hint="eastAsia"/>
        </w:rPr>
        <w:t>2.规范性引用文件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8D02658FCB1244B591B5A83527E30F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6170963" w14:textId="77777777" w:rsidR="00400D69"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CCFC2FA" w14:textId="77777777" w:rsidR="00400D69" w:rsidRDefault="00000000">
      <w:pPr>
        <w:ind w:firstLineChars="200" w:firstLine="420"/>
      </w:pPr>
      <w:r>
        <w:rPr>
          <w:rFonts w:hint="eastAsia"/>
        </w:rPr>
        <w:t xml:space="preserve">WW/T 0088-2018 </w:t>
      </w:r>
      <w:r>
        <w:rPr>
          <w:rFonts w:hint="eastAsia"/>
        </w:rPr>
        <w:t>博物馆展览内容设计规范</w:t>
      </w:r>
    </w:p>
    <w:p w14:paraId="0977CA83" w14:textId="77777777" w:rsidR="00400D69" w:rsidRDefault="00000000">
      <w:pPr>
        <w:ind w:firstLineChars="200" w:firstLine="420"/>
        <w:rPr>
          <w:rFonts w:eastAsiaTheme="minorEastAsia"/>
        </w:rPr>
      </w:pPr>
      <w:r>
        <w:rPr>
          <w:rFonts w:hint="eastAsia"/>
        </w:rPr>
        <w:t xml:space="preserve">WW/T 0089-2018 </w:t>
      </w:r>
      <w:r>
        <w:rPr>
          <w:rFonts w:hint="eastAsia"/>
        </w:rPr>
        <w:t>博物馆陈列展览形式设计与施工规范</w:t>
      </w:r>
    </w:p>
    <w:p w14:paraId="53A0C753" w14:textId="77777777" w:rsidR="00400D69" w:rsidRDefault="00000000">
      <w:pPr>
        <w:ind w:firstLineChars="200" w:firstLine="420"/>
      </w:pPr>
      <w:r>
        <w:rPr>
          <w:rFonts w:hint="eastAsia"/>
        </w:rPr>
        <w:t xml:space="preserve">WW/T 0019-2008 </w:t>
      </w:r>
      <w:r>
        <w:rPr>
          <w:rFonts w:hint="eastAsia"/>
        </w:rPr>
        <w:t>馆藏文物展览点交规范</w:t>
      </w:r>
    </w:p>
    <w:p w14:paraId="5A0B9CC8" w14:textId="77777777" w:rsidR="00400D69" w:rsidRDefault="00000000">
      <w:pPr>
        <w:ind w:firstLineChars="200" w:firstLine="420"/>
      </w:pPr>
      <w:r>
        <w:t>WW/T 0111—2023</w:t>
      </w:r>
      <w:r>
        <w:rPr>
          <w:rFonts w:hint="eastAsia"/>
        </w:rPr>
        <w:t xml:space="preserve"> </w:t>
      </w:r>
      <w:r>
        <w:rPr>
          <w:rFonts w:hint="eastAsia"/>
        </w:rPr>
        <w:t>博物馆公共安全应急管理规范</w:t>
      </w:r>
    </w:p>
    <w:p w14:paraId="0A8A9880" w14:textId="77777777" w:rsidR="00400D69" w:rsidRDefault="00000000">
      <w:pPr>
        <w:pStyle w:val="affc"/>
        <w:numPr>
          <w:ilvl w:val="1"/>
          <w:numId w:val="0"/>
        </w:numPr>
        <w:spacing w:before="312" w:after="312"/>
        <w:ind w:firstLineChars="200" w:firstLine="420"/>
      </w:pPr>
      <w:bookmarkStart w:id="38" w:name="_Toc97191425"/>
      <w:r>
        <w:rPr>
          <w:rFonts w:hint="eastAsia"/>
          <w:szCs w:val="21"/>
        </w:rPr>
        <w:t>3.术语和定义</w:t>
      </w:r>
      <w:bookmarkEnd w:id="38"/>
    </w:p>
    <w:bookmarkStart w:id="39" w:name="_Toc26986532" w:displacedByCustomXml="next"/>
    <w:bookmarkEnd w:id="39" w:displacedByCustomXml="next"/>
    <w:sdt>
      <w:sdtPr>
        <w:id w:val="-1909835108"/>
        <w:placeholder>
          <w:docPart w:val="6E8A5678FB2D44C884636A50CF278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20912F0" w14:textId="77777777" w:rsidR="00400D69" w:rsidRDefault="00000000">
          <w:pPr>
            <w:pStyle w:val="afffff6"/>
            <w:ind w:firstLine="420"/>
          </w:pPr>
          <w:r>
            <w:t>下列术语和定义适用于本文件。</w:t>
          </w:r>
        </w:p>
      </w:sdtContent>
    </w:sdt>
    <w:p w14:paraId="312829A6" w14:textId="77777777" w:rsidR="00400D69" w:rsidRDefault="00400D69">
      <w:pPr>
        <w:pStyle w:val="afffff6"/>
        <w:ind w:firstLine="420"/>
      </w:pPr>
    </w:p>
    <w:p w14:paraId="6CD2A271" w14:textId="77777777" w:rsidR="00400D69" w:rsidRDefault="00000000">
      <w:pPr>
        <w:pStyle w:val="afffff6"/>
        <w:ind w:firstLine="420"/>
      </w:pPr>
      <w:r>
        <w:rPr>
          <w:rFonts w:hint="eastAsia"/>
        </w:rPr>
        <w:t>3.1</w:t>
      </w:r>
    </w:p>
    <w:p w14:paraId="67AEB16C" w14:textId="77777777" w:rsidR="00400D69" w:rsidRDefault="00000000">
      <w:pPr>
        <w:pStyle w:val="afffff6"/>
        <w:ind w:firstLine="420"/>
      </w:pPr>
      <w:r>
        <w:rPr>
          <w:rFonts w:hint="eastAsia"/>
        </w:rPr>
        <w:t>文博单位</w:t>
      </w:r>
    </w:p>
    <w:p w14:paraId="33D97D7D" w14:textId="77777777" w:rsidR="00400D69" w:rsidRDefault="00000000">
      <w:pPr>
        <w:pStyle w:val="afffff6"/>
        <w:ind w:firstLine="420"/>
      </w:pPr>
      <w:r>
        <w:rPr>
          <w:rFonts w:hint="eastAsia"/>
        </w:rPr>
        <w:t>从事文物遗产收集、整理、保管、研究、展览、教育、推广等的机构，包括博物馆、纪念馆、展览馆、历史遗址管理机构、名人故居、考古所、历史研究机构等文化事业单位。</w:t>
      </w:r>
    </w:p>
    <w:p w14:paraId="39AFE48D" w14:textId="77777777" w:rsidR="00400D69" w:rsidRDefault="00000000">
      <w:pPr>
        <w:pStyle w:val="afffff6"/>
        <w:ind w:firstLine="420"/>
      </w:pPr>
      <w:r>
        <w:rPr>
          <w:rFonts w:hint="eastAsia"/>
        </w:rPr>
        <w:t>3.2</w:t>
      </w:r>
    </w:p>
    <w:p w14:paraId="2BDFBB48" w14:textId="77777777" w:rsidR="00400D69" w:rsidRDefault="00000000">
      <w:pPr>
        <w:pStyle w:val="afffff6"/>
        <w:ind w:firstLine="420"/>
      </w:pPr>
      <w:r>
        <w:rPr>
          <w:rFonts w:hint="eastAsia"/>
        </w:rPr>
        <w:t>陈列展览</w:t>
      </w:r>
    </w:p>
    <w:p w14:paraId="41208CA0" w14:textId="77777777" w:rsidR="00400D69" w:rsidRDefault="00000000">
      <w:pPr>
        <w:pStyle w:val="afffff6"/>
        <w:ind w:firstLine="420"/>
      </w:pPr>
      <w:r>
        <w:rPr>
          <w:rFonts w:hint="eastAsia"/>
        </w:rPr>
        <w:t>指在特定空间内，以文物标本和学术研究成果为基础，以艺术的或技术的辅助展品为辅助，以展示设备为平台，依据特定传播或教育目的，使用特殊的诠释方法和学习次序，按照一定的展览主题、结构、内容和艺术形式组成的，进行观点和思想、知识和信息、价值与情感传播的直观生动的陈列艺术形象序列。</w:t>
      </w:r>
    </w:p>
    <w:p w14:paraId="18BFBD4E" w14:textId="77777777" w:rsidR="00400D69" w:rsidRDefault="00000000">
      <w:pPr>
        <w:pStyle w:val="affc"/>
        <w:numPr>
          <w:ilvl w:val="1"/>
          <w:numId w:val="0"/>
        </w:numPr>
        <w:spacing w:before="312" w:after="312"/>
        <w:ind w:firstLineChars="200" w:firstLine="420"/>
        <w:rPr>
          <w:szCs w:val="21"/>
        </w:rPr>
      </w:pPr>
      <w:r>
        <w:rPr>
          <w:rFonts w:hint="eastAsia"/>
          <w:szCs w:val="21"/>
        </w:rPr>
        <w:t>4 流程管理</w:t>
      </w:r>
    </w:p>
    <w:p w14:paraId="0ECE1163" w14:textId="77777777" w:rsidR="00400D69" w:rsidRDefault="00000000">
      <w:pPr>
        <w:pStyle w:val="afffff6"/>
        <w:ind w:firstLine="422"/>
        <w:rPr>
          <w:b/>
          <w:bCs/>
        </w:rPr>
      </w:pPr>
      <w:r>
        <w:rPr>
          <w:rFonts w:hint="eastAsia"/>
          <w:b/>
          <w:bCs/>
        </w:rPr>
        <w:t>4.1 策展策划与设计</w:t>
      </w:r>
    </w:p>
    <w:p w14:paraId="127DB159" w14:textId="77777777" w:rsidR="00400D69" w:rsidRDefault="00000000">
      <w:pPr>
        <w:pStyle w:val="afffff6"/>
        <w:ind w:firstLine="422"/>
        <w:rPr>
          <w:b/>
          <w:bCs/>
        </w:rPr>
      </w:pPr>
      <w:r>
        <w:rPr>
          <w:rFonts w:hint="eastAsia"/>
          <w:b/>
          <w:bCs/>
        </w:rPr>
        <w:t>4.1.1 前期研究与内容审核</w:t>
      </w:r>
    </w:p>
    <w:p w14:paraId="7B096783" w14:textId="77777777" w:rsidR="00400D69" w:rsidRDefault="00000000">
      <w:pPr>
        <w:pStyle w:val="afffff6"/>
        <w:ind w:firstLine="420"/>
      </w:pPr>
      <w:r>
        <w:rPr>
          <w:rFonts w:hint="eastAsia"/>
        </w:rPr>
        <w:lastRenderedPageBreak/>
        <w:t>立足资源禀赋和藏品研究由工作人员提出展览选题，经评审会综合评议，确定选题和策展人。策展团队根据策展人建议组成。</w:t>
      </w:r>
    </w:p>
    <w:p w14:paraId="32D51808" w14:textId="77777777" w:rsidR="00400D69" w:rsidRDefault="00000000">
      <w:pPr>
        <w:pStyle w:val="afffff6"/>
        <w:ind w:firstLine="420"/>
      </w:pPr>
      <w:r>
        <w:rPr>
          <w:rFonts w:hint="eastAsia"/>
        </w:rPr>
        <w:t>围绕确定选题，策展团队收集资料，开展需求调研，深入藏品研究。</w:t>
      </w:r>
    </w:p>
    <w:p w14:paraId="3407C618" w14:textId="77777777" w:rsidR="00400D69" w:rsidRDefault="00000000">
      <w:pPr>
        <w:pStyle w:val="afffff6"/>
        <w:ind w:firstLine="422"/>
        <w:rPr>
          <w:b/>
          <w:bCs/>
        </w:rPr>
      </w:pPr>
      <w:r>
        <w:rPr>
          <w:rFonts w:hint="eastAsia"/>
          <w:b/>
          <w:bCs/>
        </w:rPr>
        <w:t>4.1.2 展览大纲与展品确定</w:t>
      </w:r>
    </w:p>
    <w:p w14:paraId="294762BB" w14:textId="77777777" w:rsidR="00400D69" w:rsidRDefault="00000000">
      <w:pPr>
        <w:pStyle w:val="afffff6"/>
        <w:ind w:firstLine="420"/>
      </w:pPr>
      <w:r>
        <w:rPr>
          <w:rFonts w:hint="eastAsia"/>
        </w:rPr>
        <w:t>4.1.2.1  展览大纲分部分、单元、展品组或展品三个层级，各模块有机联系，统一并服务于展览主题。各层级标题文辞风格统一，以相互对仗呼应为佳。前言/序言和结语字数在500字以内，部分、单元说明分别控制在300字、250字，展品组或展品介绍不超过100字，重点文物说明不限字数;</w:t>
      </w:r>
    </w:p>
    <w:p w14:paraId="32A37BDF" w14:textId="77777777" w:rsidR="00400D69" w:rsidRDefault="00000000">
      <w:pPr>
        <w:pStyle w:val="afffff6"/>
        <w:ind w:firstLine="420"/>
      </w:pPr>
      <w:r>
        <w:rPr>
          <w:rFonts w:hint="eastAsia"/>
        </w:rPr>
        <w:t>4.1.2.2 大纲经专家评审通过后实施。评审重点是：大纲主题、定位、结构、文字、可操作性等。未通过评审需修改大纲、更改或取消选题;</w:t>
      </w:r>
    </w:p>
    <w:p w14:paraId="44D3EEFB" w14:textId="77777777" w:rsidR="00400D69" w:rsidRDefault="00000000">
      <w:pPr>
        <w:pStyle w:val="afffff6"/>
        <w:ind w:firstLine="420"/>
      </w:pPr>
      <w:r>
        <w:rPr>
          <w:rFonts w:hint="eastAsia"/>
        </w:rPr>
        <w:t>4.1.2.3 依据大纲，结合馆藏从文物保护、学术价值、展示效果等维度遴选展品。如馆藏不足，可视情从其他单位借展，并依法办理手续。展品应以原件为主，视情增加辅助展品，并予以明示。制作展品清单，明确基础信息。</w:t>
      </w:r>
    </w:p>
    <w:p w14:paraId="1183EC47" w14:textId="77777777" w:rsidR="00400D69" w:rsidRDefault="00000000">
      <w:pPr>
        <w:pStyle w:val="afffff6"/>
        <w:ind w:firstLine="422"/>
      </w:pPr>
      <w:r>
        <w:rPr>
          <w:rFonts w:hint="eastAsia"/>
          <w:b/>
          <w:bCs/>
        </w:rPr>
        <w:t>4.1.3 形式设计与风险评估</w:t>
      </w:r>
    </w:p>
    <w:p w14:paraId="0D0C1226" w14:textId="77777777" w:rsidR="00400D69" w:rsidRDefault="00000000">
      <w:pPr>
        <w:pStyle w:val="afffff6"/>
        <w:ind w:firstLine="420"/>
      </w:pPr>
      <w:r>
        <w:rPr>
          <w:rFonts w:hint="eastAsia"/>
        </w:rPr>
        <w:t>4.1.3.1 形式设计方案包括：展厅平面布局设计、展览环境设计、文物展品组合设计、陈列设备设计（展墙、展柜、展架、展板等）、辅助展品设计（图片、图表、沙盘、模型、互动设置等）、高科技运用设计（如多媒体等）、光环境设计（灯具、照明等）、文字设计（各种标识、公示牌等设计）等。</w:t>
      </w:r>
    </w:p>
    <w:p w14:paraId="2320F1AE" w14:textId="77777777" w:rsidR="00400D69" w:rsidRDefault="00000000">
      <w:pPr>
        <w:pStyle w:val="afffff6"/>
        <w:ind w:firstLine="420"/>
      </w:pPr>
      <w:r>
        <w:rPr>
          <w:rFonts w:hint="eastAsia"/>
        </w:rPr>
        <w:t>4.1.3.2 设计方案应形成完整的图纸、效果图及技术说明文件，经策展团队、专家及场馆相关部门联合评审通过后，方可用于施工制作。</w:t>
      </w:r>
    </w:p>
    <w:p w14:paraId="41E46AB1" w14:textId="77777777" w:rsidR="00400D69" w:rsidRDefault="00000000">
      <w:pPr>
        <w:pStyle w:val="afffff6"/>
        <w:ind w:firstLine="420"/>
      </w:pPr>
      <w:r>
        <w:rPr>
          <w:rFonts w:hint="eastAsia"/>
        </w:rPr>
        <w:t>4.1.3.3 同步开展风险评估工作，从文物安全、施工安全、消防安全、技术应用稳定性、观众承载量等维度进行全面评估。识别潜在风险点，制定风险等级划分标准及应对预案。</w:t>
      </w:r>
    </w:p>
    <w:p w14:paraId="72DDD0E7" w14:textId="77777777" w:rsidR="00400D69" w:rsidRDefault="00000000">
      <w:pPr>
        <w:pStyle w:val="afffff6"/>
        <w:ind w:firstLine="422"/>
      </w:pPr>
      <w:r>
        <w:rPr>
          <w:rFonts w:hint="eastAsia"/>
          <w:b/>
          <w:bCs/>
        </w:rPr>
        <w:t>4.2 布展与开放</w:t>
      </w:r>
    </w:p>
    <w:p w14:paraId="42A42E7F" w14:textId="77777777" w:rsidR="00400D69" w:rsidRDefault="00000000">
      <w:pPr>
        <w:pStyle w:val="afffff6"/>
        <w:ind w:firstLine="422"/>
        <w:rPr>
          <w:b/>
          <w:bCs/>
        </w:rPr>
      </w:pPr>
      <w:r>
        <w:rPr>
          <w:rFonts w:hint="eastAsia"/>
          <w:b/>
          <w:bCs/>
        </w:rPr>
        <w:t>4.2.1 文物点交与展具固定</w:t>
      </w:r>
    </w:p>
    <w:p w14:paraId="2F988C4A" w14:textId="77777777" w:rsidR="00400D69" w:rsidRDefault="00000000">
      <w:pPr>
        <w:pStyle w:val="afffff6"/>
        <w:ind w:firstLine="420"/>
      </w:pPr>
      <w:r>
        <w:rPr>
          <w:rFonts w:hint="eastAsia"/>
        </w:rPr>
        <w:t>4.2.1.1</w:t>
      </w:r>
      <w:r>
        <w:rPr>
          <w:rFonts w:hint="eastAsia"/>
          <w:b/>
          <w:bCs/>
        </w:rPr>
        <w:t xml:space="preserve"> </w:t>
      </w:r>
      <w:r>
        <w:rPr>
          <w:rFonts w:hint="eastAsia"/>
        </w:rPr>
        <w:t>布展前，策展团队与文物保管部门再次核对展品及状况，确认是否需要修复、清洗等。与后勤部门联系，提前清洁展厅和展柜，确保展览效果；</w:t>
      </w:r>
    </w:p>
    <w:p w14:paraId="0A4AB7AC" w14:textId="77777777" w:rsidR="00400D69" w:rsidRDefault="00000000">
      <w:pPr>
        <w:pStyle w:val="afffff6"/>
        <w:ind w:firstLine="420"/>
      </w:pPr>
      <w:r>
        <w:rPr>
          <w:rFonts w:hint="eastAsia"/>
        </w:rPr>
        <w:t>4.2.1.2 文物点交工作由文物保管部门、陈列部门、策展团队等共同参与。严格依据展品清单，逐件核对，拍摄多角度高清照片留存档案，并填写点交单，签字确认。点交过程中发现问题，需立即暂停并上报处理，待解决后方可继续布展；</w:t>
      </w:r>
    </w:p>
    <w:p w14:paraId="6F74EB38" w14:textId="77777777" w:rsidR="00400D69" w:rsidRDefault="00000000">
      <w:pPr>
        <w:pStyle w:val="afffff6"/>
        <w:ind w:firstLine="420"/>
      </w:pPr>
      <w:r>
        <w:rPr>
          <w:rFonts w:hint="eastAsia"/>
        </w:rPr>
        <w:t>4.2.1.3 文物入柜采取先远后近、先重后轻的原则。根据展品特性，采用专业材料和工艺进行展具固定安装；</w:t>
      </w:r>
    </w:p>
    <w:p w14:paraId="7370A3D9" w14:textId="77777777" w:rsidR="00400D69" w:rsidRDefault="00000000">
      <w:pPr>
        <w:pStyle w:val="afffff6"/>
        <w:ind w:firstLine="420"/>
      </w:pPr>
      <w:r>
        <w:rPr>
          <w:rFonts w:hint="eastAsia"/>
        </w:rPr>
        <w:t>4.2.1.4 承接文博场馆陈列展览施工的单位应具备相匹配的施工资质。施工全程应强制遵守国家关于建筑施工、生产安全、公共场所安全，文物、遗址安全、保护，以及环境保护等方面的法规、标准和规范；</w:t>
      </w:r>
    </w:p>
    <w:p w14:paraId="434ABA3C" w14:textId="77777777" w:rsidR="00400D69" w:rsidRDefault="00000000">
      <w:pPr>
        <w:pStyle w:val="afffff6"/>
        <w:ind w:firstLine="420"/>
      </w:pPr>
      <w:r>
        <w:rPr>
          <w:rFonts w:hint="eastAsia"/>
        </w:rPr>
        <w:t>4.2.1.5 布展完成后，核对展柜文物，保管好展柜钥匙。后续所有的调整均须征得陈列部认可方能进行。</w:t>
      </w:r>
    </w:p>
    <w:p w14:paraId="24D77A1F" w14:textId="77777777" w:rsidR="00400D69" w:rsidRDefault="00000000">
      <w:pPr>
        <w:pStyle w:val="afffff6"/>
        <w:ind w:firstLine="422"/>
      </w:pPr>
      <w:r>
        <w:rPr>
          <w:rFonts w:hint="eastAsia"/>
          <w:b/>
          <w:bCs/>
        </w:rPr>
        <w:t>4.2.2 观众服务与应急管理</w:t>
      </w:r>
    </w:p>
    <w:p w14:paraId="7974C76F" w14:textId="77777777" w:rsidR="00400D69" w:rsidRDefault="00000000">
      <w:pPr>
        <w:pStyle w:val="afffff6"/>
        <w:ind w:firstLine="420"/>
      </w:pPr>
      <w:r>
        <w:rPr>
          <w:rFonts w:hint="eastAsia"/>
        </w:rPr>
        <w:t>4.2.2.1 制定观众服务规范，提供专业咨询、讲解引导服务，讲解内容应与展览大纲一致且通俗易懂。视情提供多语言导览手册、语音导览设备、线上导览程序等多样化导览服务，满足不同观众需求。</w:t>
      </w:r>
      <w:r>
        <w:t>定期收集观众反馈，持续优化服务质量。</w:t>
      </w:r>
    </w:p>
    <w:p w14:paraId="1013D4CE" w14:textId="77777777" w:rsidR="00400D69" w:rsidRDefault="00000000">
      <w:pPr>
        <w:pStyle w:val="afffff6"/>
        <w:ind w:firstLine="420"/>
      </w:pPr>
      <w:r>
        <w:rPr>
          <w:rFonts w:hint="eastAsia"/>
        </w:rPr>
        <w:t xml:space="preserve">4.2.2.2 </w:t>
      </w:r>
      <w:r>
        <w:t>制定涵盖火灾、文物受损、人员突发疾病等场景的应急预案，明确应急处置流程、各部门职责分工及联络方式。</w:t>
      </w:r>
      <w:r>
        <w:rPr>
          <w:rFonts w:hint="eastAsia"/>
        </w:rPr>
        <w:t>展览开放后，在展厅关键位置配备急救箱、消防器材等应急物资，并定期检查维护。遇突发事件，立即启动应急预案，快速响应处置，事后进行事件复盘与整改。</w:t>
      </w:r>
    </w:p>
    <w:p w14:paraId="63D79077" w14:textId="77777777" w:rsidR="00400D69" w:rsidRDefault="00000000">
      <w:pPr>
        <w:pStyle w:val="afffff6"/>
        <w:ind w:firstLine="422"/>
      </w:pPr>
      <w:r>
        <w:rPr>
          <w:rFonts w:hint="eastAsia"/>
          <w:b/>
          <w:bCs/>
        </w:rPr>
        <w:t>4.3 社会教育与文创开发</w:t>
      </w:r>
    </w:p>
    <w:p w14:paraId="5FCE16D2" w14:textId="77777777" w:rsidR="00400D69" w:rsidRDefault="00000000">
      <w:pPr>
        <w:pStyle w:val="afffff6"/>
        <w:ind w:firstLine="422"/>
        <w:rPr>
          <w:b/>
          <w:bCs/>
        </w:rPr>
      </w:pPr>
      <w:r>
        <w:rPr>
          <w:rFonts w:hint="eastAsia"/>
          <w:b/>
          <w:bCs/>
        </w:rPr>
        <w:t>4.3.1 社教活动策划与实施</w:t>
      </w:r>
    </w:p>
    <w:p w14:paraId="004E5E38" w14:textId="77777777" w:rsidR="00400D69" w:rsidRDefault="00000000">
      <w:pPr>
        <w:pStyle w:val="afffff6"/>
        <w:ind w:firstLine="420"/>
      </w:pPr>
      <w:r>
        <w:rPr>
          <w:rFonts w:hint="eastAsia"/>
        </w:rPr>
        <w:lastRenderedPageBreak/>
        <w:t>4.3.1.1 在展览大纲确定后，依据展览主题、受众特点及教育目标，制定社教活动策划方案，明确活动主题、目标人群、活动形式、内容设计、时间安排及预算规划。策划方案经社教部门、策展团队及有关专家联合评审通过后方能实施。</w:t>
      </w:r>
    </w:p>
    <w:p w14:paraId="59813B58" w14:textId="77777777" w:rsidR="00400D69" w:rsidRDefault="00000000">
      <w:pPr>
        <w:pStyle w:val="afffff6"/>
        <w:ind w:firstLine="420"/>
      </w:pPr>
      <w:r>
        <w:rPr>
          <w:rFonts w:hint="eastAsia"/>
        </w:rPr>
        <w:t>4.3.1.2 社教活动实施需提前做好场地布置、物资准备、人员分工等。过程中注意现场秩序维护，保障安全。结束后注意收集反馈意见，及时总结，形成文字材料，为后续优化提供依据。</w:t>
      </w:r>
    </w:p>
    <w:p w14:paraId="4DCE973B" w14:textId="77777777" w:rsidR="00400D69" w:rsidRDefault="00000000">
      <w:pPr>
        <w:pStyle w:val="afffff6"/>
        <w:ind w:firstLine="422"/>
        <w:rPr>
          <w:b/>
          <w:bCs/>
        </w:rPr>
      </w:pPr>
      <w:r>
        <w:rPr>
          <w:rFonts w:hint="eastAsia"/>
          <w:b/>
          <w:bCs/>
        </w:rPr>
        <w:t>4.3.2 文创产品开发与运营</w:t>
      </w:r>
    </w:p>
    <w:p w14:paraId="098C88C1" w14:textId="77777777" w:rsidR="00400D69" w:rsidRDefault="00000000">
      <w:pPr>
        <w:pStyle w:val="afffff6"/>
        <w:ind w:firstLine="420"/>
      </w:pPr>
      <w:r>
        <w:rPr>
          <w:rFonts w:hint="eastAsia"/>
        </w:rPr>
        <w:t>4.3.2.1</w:t>
      </w:r>
      <w:r>
        <w:rPr>
          <w:rFonts w:hint="eastAsia"/>
          <w:b/>
          <w:bCs/>
        </w:rPr>
        <w:t xml:space="preserve"> </w:t>
      </w:r>
      <w:r>
        <w:rPr>
          <w:rFonts w:hint="eastAsia"/>
        </w:rPr>
        <w:t>文创产品开发需以文博场馆陈列展览为核心，深度挖掘展览主题、展品文化内涵，遵循“保护优先、创意转化、展陈赋能”原则。结合展览目标受众需求，明确产品定位，开发与展览主题紧密相关的文创产品；</w:t>
      </w:r>
    </w:p>
    <w:p w14:paraId="6F67112D" w14:textId="77777777" w:rsidR="00400D69" w:rsidRDefault="00000000">
      <w:pPr>
        <w:pStyle w:val="afffff6"/>
        <w:ind w:firstLine="420"/>
      </w:pPr>
      <w:r>
        <w:rPr>
          <w:rFonts w:hint="eastAsia"/>
        </w:rPr>
        <w:t>4.3.2.2 紧扣文博场馆藏品文化内涵、展览主题特色，遵循“保护优先、创意转化、市场导向”原则，确保文化表达准确、设计新颖可行；</w:t>
      </w:r>
    </w:p>
    <w:p w14:paraId="600AECF9" w14:textId="77777777" w:rsidR="00400D69" w:rsidRDefault="00000000">
      <w:pPr>
        <w:pStyle w:val="afffff6"/>
        <w:ind w:firstLine="420"/>
      </w:pPr>
      <w:r>
        <w:rPr>
          <w:rFonts w:hint="eastAsia"/>
        </w:rPr>
        <w:t>4.3.2.3 选择具备资质的生产企业合作，严格把控原材料质量、生产工艺及产品质检环节，留存样品档案，保障产品品质；</w:t>
      </w:r>
    </w:p>
    <w:p w14:paraId="1E31EF97" w14:textId="77777777" w:rsidR="00400D69" w:rsidRDefault="00000000">
      <w:pPr>
        <w:pStyle w:val="afffff6"/>
        <w:ind w:firstLine="420"/>
      </w:pPr>
      <w:r>
        <w:rPr>
          <w:rFonts w:hint="eastAsia"/>
        </w:rPr>
        <w:t>4.3.2.4 在展览区域周边合理规划文创商店布局，结合展览空间进行主题化陈列展示，并及时针对展览特色更新文创产品，推动文创产品与陈列展览协同发展。</w:t>
      </w:r>
    </w:p>
    <w:p w14:paraId="7CC1333E" w14:textId="77777777" w:rsidR="00400D69" w:rsidRDefault="00000000">
      <w:pPr>
        <w:pStyle w:val="afffff6"/>
        <w:ind w:firstLine="422"/>
        <w:rPr>
          <w:b/>
          <w:bCs/>
        </w:rPr>
      </w:pPr>
      <w:r>
        <w:rPr>
          <w:rFonts w:hint="eastAsia"/>
          <w:b/>
          <w:bCs/>
        </w:rPr>
        <w:t>4.4 宣传与推介</w:t>
      </w:r>
    </w:p>
    <w:p w14:paraId="1AD7C4FE" w14:textId="77777777" w:rsidR="00400D69" w:rsidRDefault="00000000">
      <w:pPr>
        <w:pStyle w:val="afffff6"/>
        <w:ind w:firstLine="422"/>
        <w:rPr>
          <w:b/>
          <w:bCs/>
        </w:rPr>
      </w:pPr>
      <w:r>
        <w:rPr>
          <w:rFonts w:hint="eastAsia"/>
          <w:b/>
          <w:bCs/>
        </w:rPr>
        <w:t>4.4.1 宣传计划制定与资源整合</w:t>
      </w:r>
    </w:p>
    <w:p w14:paraId="62ACF44D" w14:textId="77777777" w:rsidR="00400D69" w:rsidRDefault="00000000">
      <w:pPr>
        <w:pStyle w:val="afffff6"/>
        <w:ind w:firstLine="420"/>
      </w:pPr>
      <w:r>
        <w:rPr>
          <w:rFonts w:hint="eastAsia"/>
        </w:rPr>
        <w:t>4.4.1.1 以陈列展览为核心，结合展览主题、目标受众及展期安排，制定系统性宣传计划。计划需明确宣传目标、确定宣传渠道、规划宣传内容，并细化各阶段宣传重点。</w:t>
      </w:r>
    </w:p>
    <w:p w14:paraId="20251860" w14:textId="77777777" w:rsidR="00400D69" w:rsidRDefault="00000000">
      <w:pPr>
        <w:pStyle w:val="afffff6"/>
        <w:ind w:firstLine="420"/>
      </w:pPr>
      <w:r>
        <w:rPr>
          <w:rFonts w:hint="eastAsia"/>
        </w:rPr>
        <w:t>4.4.1.2 建立多维度资源整合机制，对内统筹场馆官网、公众号、短视频号等自有资源，打造宣传矩阵；对外积极联动政府文旅部门、新闻媒体、本地高校等外部资源，扩大宣传覆盖面。整合过程中，需签订规范合作协议，明确权责，合理分配资源投入，形成宣传合力，提升宣传效果与资源利用效率。</w:t>
      </w:r>
    </w:p>
    <w:p w14:paraId="4A24CBA7" w14:textId="77777777" w:rsidR="00400D69" w:rsidRDefault="00000000">
      <w:pPr>
        <w:pStyle w:val="afffff6"/>
        <w:ind w:firstLine="422"/>
        <w:rPr>
          <w:b/>
          <w:bCs/>
        </w:rPr>
      </w:pPr>
      <w:r>
        <w:rPr>
          <w:rFonts w:hint="eastAsia"/>
          <w:b/>
          <w:bCs/>
        </w:rPr>
        <w:t>4.4.2 内容规范与教育推广</w:t>
      </w:r>
    </w:p>
    <w:p w14:paraId="00A5A907" w14:textId="77777777" w:rsidR="00400D69" w:rsidRDefault="00000000">
      <w:pPr>
        <w:pStyle w:val="afffff6"/>
        <w:ind w:firstLine="420"/>
      </w:pPr>
      <w:r>
        <w:rPr>
          <w:rFonts w:hint="eastAsia"/>
        </w:rPr>
        <w:t>4.4.2.1</w:t>
      </w:r>
      <w:r>
        <w:rPr>
          <w:rFonts w:hint="eastAsia"/>
          <w:b/>
          <w:bCs/>
        </w:rPr>
        <w:t xml:space="preserve"> </w:t>
      </w:r>
      <w:r>
        <w:rPr>
          <w:rFonts w:hint="eastAsia"/>
        </w:rPr>
        <w:t>宣传内容需以展览大纲与学术研究为依据，确保信息准确、表述规范，不得夸大或曲解展览及展品内涵。宣传用语应契合不同宣传渠道特性，新媒体平台内容注重趣味性与传播性，传统媒体内容强调权威性与严谨性；</w:t>
      </w:r>
    </w:p>
    <w:p w14:paraId="6E521F79" w14:textId="77777777" w:rsidR="00400D69" w:rsidRDefault="00000000">
      <w:pPr>
        <w:pStyle w:val="afffff6"/>
        <w:ind w:firstLine="420"/>
      </w:pPr>
      <w:r>
        <w:rPr>
          <w:rFonts w:hint="eastAsia"/>
        </w:rPr>
        <w:t>4.4.2.2 制定教育推广专项方案，将社教活动、研学课程等纳入宣传重点，通过专题海报、合作机构定向推送等方式，精准触达学校、社区、文化机构等目标群体。定期收集参与者反馈，分析教育推广效果，优化推广策略与活动内容，强化文博场馆社会教育功能。</w:t>
      </w:r>
    </w:p>
    <w:p w14:paraId="5F8E4C0F" w14:textId="77777777" w:rsidR="00400D69" w:rsidRDefault="00000000">
      <w:pPr>
        <w:pStyle w:val="afffff6"/>
        <w:ind w:firstLine="422"/>
        <w:rPr>
          <w:b/>
          <w:bCs/>
        </w:rPr>
      </w:pPr>
      <w:r>
        <w:rPr>
          <w:rFonts w:hint="eastAsia"/>
          <w:b/>
          <w:bCs/>
        </w:rPr>
        <w:t>4.5 撤展与维护</w:t>
      </w:r>
    </w:p>
    <w:p w14:paraId="7108BE6D" w14:textId="77777777" w:rsidR="00400D69" w:rsidRDefault="00000000">
      <w:pPr>
        <w:pStyle w:val="afffff6"/>
        <w:ind w:firstLine="422"/>
      </w:pPr>
      <w:r>
        <w:rPr>
          <w:rFonts w:hint="eastAsia"/>
          <w:b/>
          <w:bCs/>
        </w:rPr>
        <w:t>4.5.1 文物归库与现场清理</w:t>
      </w:r>
    </w:p>
    <w:p w14:paraId="777E59C6" w14:textId="77777777" w:rsidR="00400D69" w:rsidRDefault="00000000">
      <w:pPr>
        <w:pStyle w:val="afffff6"/>
        <w:ind w:firstLine="420"/>
      </w:pPr>
      <w:r>
        <w:rPr>
          <w:rFonts w:hint="eastAsia"/>
        </w:rPr>
        <w:t>4.5.1.1  撤展前，由策展团队、文物保管部门、保卫科、后勤部门共同制定文物归库方案。撤展时，要坚持逐柜撤取、先轻后重、先易后难的原则，严格按照展品清单，对文物进行逐件清点、检查，并办理手续，签字确认；</w:t>
      </w:r>
    </w:p>
    <w:p w14:paraId="4546FCA3" w14:textId="77777777" w:rsidR="00400D69" w:rsidRDefault="00000000">
      <w:pPr>
        <w:pStyle w:val="afffff6"/>
        <w:ind w:firstLine="420"/>
      </w:pPr>
      <w:r>
        <w:rPr>
          <w:rFonts w:hint="eastAsia"/>
        </w:rPr>
        <w:t>4.5.1.2 撤展完成后，施工单位需在规定时间内完成现场清理工作，拆除展具、展板、临时搭建物等设施，并分类整理可回收利用材料。拆除过程中要注意安全，遵循相关安全规定，避免设备损坏或人员受伤；</w:t>
      </w:r>
    </w:p>
    <w:p w14:paraId="4F56CEDB" w14:textId="77777777" w:rsidR="00400D69" w:rsidRDefault="00000000">
      <w:pPr>
        <w:pStyle w:val="afffff6"/>
        <w:ind w:firstLine="420"/>
      </w:pPr>
      <w:r>
        <w:rPr>
          <w:rFonts w:hint="eastAsia"/>
        </w:rPr>
        <w:t>4.5.1.3 后勤部门组织保洁人员对展厅地面、墙面、展柜等进行全面清洁，修复因布撤展造成的损坏。清理完成后，由场馆后勤部门、策展团队联合验收，确保展厅恢复至布展前状态，符合后续展览筹备或开放使用要求。验收合格后，施工单位方可离场，并留存验收记录。</w:t>
      </w:r>
    </w:p>
    <w:p w14:paraId="504A9900" w14:textId="77777777" w:rsidR="00400D69" w:rsidRDefault="00000000">
      <w:pPr>
        <w:pStyle w:val="afffff6"/>
        <w:ind w:firstLine="422"/>
        <w:rPr>
          <w:b/>
          <w:bCs/>
        </w:rPr>
      </w:pPr>
      <w:r>
        <w:rPr>
          <w:rFonts w:hint="eastAsia"/>
          <w:b/>
          <w:bCs/>
        </w:rPr>
        <w:t>4.5.2 展厅管理与日常维护</w:t>
      </w:r>
    </w:p>
    <w:p w14:paraId="58DC6EFD" w14:textId="77777777" w:rsidR="00400D69" w:rsidRDefault="00000000">
      <w:pPr>
        <w:pStyle w:val="afffff6"/>
        <w:ind w:firstLine="420"/>
      </w:pPr>
      <w:r>
        <w:rPr>
          <w:rFonts w:hint="eastAsia"/>
        </w:rPr>
        <w:lastRenderedPageBreak/>
        <w:t>4.5.2.1</w:t>
      </w:r>
      <w:r>
        <w:rPr>
          <w:rFonts w:hint="eastAsia"/>
          <w:b/>
          <w:bCs/>
        </w:rPr>
        <w:t xml:space="preserve">  </w:t>
      </w:r>
      <w:r>
        <w:rPr>
          <w:rFonts w:hint="eastAsia"/>
        </w:rPr>
        <w:t>建立健全展厅日常管理制度，明确展厅开放时间、参观流程及人员进出管理规范，定期安排保洁进行清洁。制定展厅巡查制度，安排专人定时巡查，记录展厅内文物陈列状态、设施设备运行情况及观众行为，及时发现并处理异常问题；</w:t>
      </w:r>
    </w:p>
    <w:p w14:paraId="1B9ABF85" w14:textId="77777777" w:rsidR="00400D69" w:rsidRDefault="00000000">
      <w:pPr>
        <w:pStyle w:val="afffff6"/>
        <w:ind w:firstLine="420"/>
      </w:pPr>
      <w:r>
        <w:rPr>
          <w:rFonts w:hint="eastAsia"/>
        </w:rPr>
        <w:t>4.5.2.2 定期对展厅内照明系统、空调系统、安防系统、多媒体设备等设施设备进行检查与维护。建立设备维护档案，详细记录维护时间、内容及结果，确保设备正常运转。设施设备出现故障时，及时联系专业维修人员处理，并做好应急防护措施；</w:t>
      </w:r>
    </w:p>
    <w:p w14:paraId="1AB22277" w14:textId="77777777" w:rsidR="00400D69" w:rsidRDefault="00000000">
      <w:pPr>
        <w:pStyle w:val="afffff6"/>
        <w:ind w:firstLine="420"/>
      </w:pPr>
      <w:r>
        <w:rPr>
          <w:rFonts w:hint="eastAsia"/>
        </w:rPr>
        <w:t>4.5.2.3 采用温湿度监测设备、空气质量检测仪等对展厅环境进行实时监测，建立环境数据记录台账。定期清洁展厅空气净化、除湿加湿等环境调控设备，确保其性能稳定，为文物保存和观众参观提供适宜环境。</w:t>
      </w:r>
    </w:p>
    <w:p w14:paraId="3EE0FE35" w14:textId="77777777" w:rsidR="00400D69" w:rsidRDefault="00000000">
      <w:pPr>
        <w:pStyle w:val="afffff6"/>
        <w:ind w:firstLine="422"/>
        <w:rPr>
          <w:b/>
          <w:bCs/>
        </w:rPr>
      </w:pPr>
      <w:r>
        <w:rPr>
          <w:rFonts w:hint="eastAsia"/>
          <w:b/>
          <w:bCs/>
        </w:rPr>
        <w:t>4.6 展览资料归档</w:t>
      </w:r>
    </w:p>
    <w:p w14:paraId="5884FBF6" w14:textId="77777777" w:rsidR="00400D69" w:rsidRDefault="00000000">
      <w:pPr>
        <w:pStyle w:val="afffff6"/>
        <w:ind w:firstLine="420"/>
      </w:pPr>
      <w:r>
        <w:rPr>
          <w:rFonts w:hint="eastAsia"/>
        </w:rPr>
        <w:t>4.6.1</w:t>
      </w:r>
      <w:r>
        <w:rPr>
          <w:rFonts w:hint="eastAsia"/>
          <w:b/>
          <w:bCs/>
        </w:rPr>
        <w:t xml:space="preserve"> </w:t>
      </w:r>
      <w:r>
        <w:rPr>
          <w:rFonts w:hint="eastAsia"/>
        </w:rPr>
        <w:t>展览策划资料：包括展览策划书、展览方案、展览大纲、内容设计、形式设计、布展方案等。这些资料是展览策划过程中形成的核心文件，记录了展览的整体构思和设计思路;</w:t>
      </w:r>
    </w:p>
    <w:p w14:paraId="00C2FBDD" w14:textId="77777777" w:rsidR="00400D69" w:rsidRDefault="00000000">
      <w:pPr>
        <w:pStyle w:val="afffff6"/>
        <w:ind w:firstLine="420"/>
      </w:pPr>
      <w:r>
        <w:rPr>
          <w:rFonts w:hint="eastAsia"/>
        </w:rPr>
        <w:t>4.6.2 展览展品资料：展品清单、展品图片、展品说明、展品来源等，是展览的基础，展示核心内容；</w:t>
      </w:r>
    </w:p>
    <w:p w14:paraId="53450B8D" w14:textId="77777777" w:rsidR="00400D69" w:rsidRDefault="00000000">
      <w:pPr>
        <w:pStyle w:val="afffff6"/>
        <w:ind w:firstLine="420"/>
      </w:pPr>
      <w:r>
        <w:rPr>
          <w:rFonts w:hint="eastAsia"/>
        </w:rPr>
        <w:t>4.6.3</w:t>
      </w:r>
      <w:r>
        <w:rPr>
          <w:rFonts w:hint="eastAsia"/>
          <w:b/>
          <w:bCs/>
        </w:rPr>
        <w:t xml:space="preserve"> </w:t>
      </w:r>
      <w:r>
        <w:rPr>
          <w:rFonts w:hint="eastAsia"/>
        </w:rPr>
        <w:t>展览宣传资料：展览海报、宣传册、宣传视频、新闻稿等，用于宣传展览，吸引观众前来参观；</w:t>
      </w:r>
    </w:p>
    <w:p w14:paraId="1AD8F7E4" w14:textId="77777777" w:rsidR="00400D69" w:rsidRDefault="00000000">
      <w:pPr>
        <w:pStyle w:val="afffff6"/>
        <w:ind w:firstLine="420"/>
      </w:pPr>
      <w:r>
        <w:rPr>
          <w:rFonts w:hint="eastAsia"/>
        </w:rPr>
        <w:t>4.6.4 展览观众资料：观众调查问卷、观众反馈意见、参观数据等，有助于了解观众，为未来提供参考；</w:t>
      </w:r>
    </w:p>
    <w:p w14:paraId="10AAB8B4" w14:textId="77777777" w:rsidR="00400D69" w:rsidRDefault="00000000">
      <w:pPr>
        <w:pStyle w:val="afffff6"/>
        <w:ind w:firstLine="420"/>
      </w:pPr>
      <w:r>
        <w:rPr>
          <w:rFonts w:hint="eastAsia"/>
        </w:rPr>
        <w:t>4.6.5 展览影像资料：展览现场的照片、视频等，记录展览实际情况，有助于回顾和总结展览效果。</w:t>
      </w:r>
    </w:p>
    <w:p w14:paraId="007C80D3" w14:textId="77777777" w:rsidR="00400D69" w:rsidRDefault="00000000">
      <w:pPr>
        <w:pStyle w:val="affc"/>
        <w:numPr>
          <w:ilvl w:val="1"/>
          <w:numId w:val="0"/>
        </w:numPr>
        <w:spacing w:before="312" w:after="312"/>
        <w:ind w:firstLineChars="200" w:firstLine="420"/>
        <w:rPr>
          <w:szCs w:val="21"/>
        </w:rPr>
      </w:pPr>
      <w:r>
        <w:rPr>
          <w:rFonts w:hint="eastAsia"/>
          <w:szCs w:val="21"/>
        </w:rPr>
        <w:t>5.技术要求</w:t>
      </w:r>
    </w:p>
    <w:p w14:paraId="4366D14E" w14:textId="77777777" w:rsidR="00400D69" w:rsidRDefault="00000000">
      <w:pPr>
        <w:pStyle w:val="afffff6"/>
        <w:ind w:firstLine="422"/>
      </w:pPr>
      <w:r>
        <w:rPr>
          <w:rFonts w:hint="eastAsia"/>
          <w:b/>
          <w:bCs/>
        </w:rPr>
        <w:t>5.1 文物保护技术</w:t>
      </w:r>
    </w:p>
    <w:p w14:paraId="5A786F15" w14:textId="77777777" w:rsidR="00400D69" w:rsidRDefault="00000000">
      <w:pPr>
        <w:pStyle w:val="afffff6"/>
        <w:ind w:firstLine="420"/>
      </w:pPr>
      <w:r>
        <w:rPr>
          <w:rFonts w:hint="eastAsia"/>
        </w:rPr>
        <w:t>5.1.1</w:t>
      </w:r>
      <w:r>
        <w:rPr>
          <w:rFonts w:hint="eastAsia"/>
          <w:b/>
          <w:bCs/>
        </w:rPr>
        <w:t xml:space="preserve"> </w:t>
      </w:r>
      <w:r>
        <w:rPr>
          <w:rFonts w:hint="eastAsia"/>
        </w:rPr>
        <w:t>展览前进行展品状态评估，视情采用专业清洁设备与材料，根据文物材质选择合适的方式进行清洁处理。针对易损文物，采用可逆性材料与工艺进行临时加固处理。并为文物配置防氧化、防潮的展陈包装，确保文物在运输与布展过程中的安全；</w:t>
      </w:r>
    </w:p>
    <w:p w14:paraId="594A6473" w14:textId="77777777" w:rsidR="00400D69" w:rsidRDefault="00000000">
      <w:pPr>
        <w:pStyle w:val="afffff6"/>
        <w:ind w:firstLine="420"/>
      </w:pPr>
      <w:r>
        <w:rPr>
          <w:rFonts w:hint="eastAsia"/>
        </w:rPr>
        <w:t>5.1.2</w:t>
      </w:r>
      <w:r>
        <w:rPr>
          <w:rFonts w:hint="eastAsia"/>
          <w:b/>
          <w:bCs/>
        </w:rPr>
        <w:t xml:space="preserve"> </w:t>
      </w:r>
      <w:r>
        <w:rPr>
          <w:rFonts w:hint="eastAsia"/>
        </w:rPr>
        <w:t>展览中需进行日常巡检维护，结合情况实时动态调整环境参数，确保符合文物展出要求。设计应急修复响应机制，针对展出过程中出现的突发损伤，进行应急修复并记录全过程，并在展览结束后提交详细修复报告；</w:t>
      </w:r>
    </w:p>
    <w:p w14:paraId="15FC783B" w14:textId="77777777" w:rsidR="00400D69" w:rsidRDefault="00000000">
      <w:pPr>
        <w:pStyle w:val="afffff6"/>
        <w:ind w:firstLine="420"/>
      </w:pPr>
      <w:r>
        <w:rPr>
          <w:rFonts w:hint="eastAsia"/>
        </w:rPr>
        <w:t>5.1.3</w:t>
      </w:r>
      <w:r>
        <w:rPr>
          <w:rFonts w:hint="eastAsia"/>
          <w:b/>
          <w:bCs/>
        </w:rPr>
        <w:t xml:space="preserve"> </w:t>
      </w:r>
      <w:r>
        <w:rPr>
          <w:rFonts w:hint="eastAsia"/>
        </w:rPr>
        <w:t>展览后对文物进行深度清洁与保养，再次对文物进行全面检测评估，对比展出前后状态变化，分析展览期间文物保护措施的有效性，总结经验教训，为后续展览提供参考。最后，按照文物库房管理要求，进行规范化的文物归库保存。</w:t>
      </w:r>
    </w:p>
    <w:p w14:paraId="119D2ADB" w14:textId="77777777" w:rsidR="00400D69" w:rsidRDefault="00000000">
      <w:pPr>
        <w:pStyle w:val="afffff6"/>
        <w:ind w:firstLine="422"/>
        <w:rPr>
          <w:b/>
          <w:bCs/>
        </w:rPr>
      </w:pPr>
      <w:r>
        <w:rPr>
          <w:rFonts w:hint="eastAsia"/>
          <w:b/>
          <w:bCs/>
        </w:rPr>
        <w:t>5.2 数字化与智慧化</w:t>
      </w:r>
    </w:p>
    <w:p w14:paraId="5581C89B" w14:textId="77777777" w:rsidR="00400D69" w:rsidRDefault="00000000">
      <w:pPr>
        <w:pStyle w:val="afffff6"/>
        <w:ind w:firstLine="420"/>
      </w:pPr>
      <w:r>
        <w:rPr>
          <w:rFonts w:hint="eastAsia"/>
        </w:rPr>
        <w:t>5.2.1</w:t>
      </w:r>
      <w:r>
        <w:rPr>
          <w:rFonts w:hint="eastAsia"/>
          <w:b/>
          <w:bCs/>
        </w:rPr>
        <w:t xml:space="preserve"> </w:t>
      </w:r>
      <w:r>
        <w:rPr>
          <w:rFonts w:hint="eastAsia"/>
        </w:rPr>
        <w:t>数字化采集：采用三维扫描、高清影像技术完成文物及场景数字化，统一数据标准，确保数据完整可追溯。</w:t>
      </w:r>
    </w:p>
    <w:p w14:paraId="6EF9D339" w14:textId="77777777" w:rsidR="00400D69" w:rsidRDefault="00000000">
      <w:pPr>
        <w:pStyle w:val="afffff6"/>
        <w:ind w:firstLine="420"/>
      </w:pPr>
      <w:r>
        <w:rPr>
          <w:rFonts w:hint="eastAsia"/>
        </w:rPr>
        <w:t>5.2.2 智慧化展示：搭建数字化展览平台，集成VR/AR/MR技术实现沉浸式展示。部署智能导览系统，运用大数据分析优化展陈服务。</w:t>
      </w:r>
    </w:p>
    <w:p w14:paraId="012927A6" w14:textId="77777777" w:rsidR="00400D69" w:rsidRDefault="00000000">
      <w:pPr>
        <w:pStyle w:val="afffff6"/>
        <w:ind w:firstLine="420"/>
      </w:pPr>
      <w:r>
        <w:rPr>
          <w:rFonts w:hint="eastAsia"/>
        </w:rPr>
        <w:t>5.2.3</w:t>
      </w:r>
      <w:r>
        <w:rPr>
          <w:rFonts w:hint="eastAsia"/>
          <w:b/>
          <w:bCs/>
        </w:rPr>
        <w:t xml:space="preserve"> </w:t>
      </w:r>
      <w:r>
        <w:rPr>
          <w:rFonts w:hint="eastAsia"/>
        </w:rPr>
        <w:t>数据管理：构建数字化资源管理系统，实施分级权限管控。采用异地、云端双备份机制，定期进行数据维护。部署防火墙、入侵检测系统，保障数据安全与系统稳定。</w:t>
      </w:r>
    </w:p>
    <w:p w14:paraId="22E2BB30" w14:textId="77777777" w:rsidR="00400D69" w:rsidRDefault="00000000">
      <w:pPr>
        <w:pStyle w:val="afffff6"/>
        <w:ind w:firstLine="420"/>
      </w:pPr>
      <w:r>
        <w:rPr>
          <w:rFonts w:hint="eastAsia"/>
        </w:rPr>
        <w:t>5.2.4</w:t>
      </w:r>
      <w:r>
        <w:rPr>
          <w:rFonts w:hint="eastAsia"/>
          <w:b/>
          <w:bCs/>
        </w:rPr>
        <w:t xml:space="preserve"> </w:t>
      </w:r>
      <w:r>
        <w:rPr>
          <w:rFonts w:hint="eastAsia"/>
        </w:rPr>
        <w:t>设备运维：配置适配数字化展示的服务器、终端等硬件设备。制定巡检制度，明确维护周期与故障处理流程，组建技术团队保障系统持续运行。</w:t>
      </w:r>
    </w:p>
    <w:p w14:paraId="6F33D689" w14:textId="77777777" w:rsidR="00400D69" w:rsidRDefault="00000000">
      <w:pPr>
        <w:pStyle w:val="afffff6"/>
        <w:ind w:firstLine="422"/>
        <w:rPr>
          <w:b/>
          <w:bCs/>
        </w:rPr>
      </w:pPr>
      <w:r>
        <w:rPr>
          <w:rFonts w:hint="eastAsia"/>
          <w:b/>
          <w:bCs/>
        </w:rPr>
        <w:t>5.3 安全与应急体系</w:t>
      </w:r>
    </w:p>
    <w:p w14:paraId="32BA30A8" w14:textId="77777777" w:rsidR="00400D69" w:rsidRDefault="00000000">
      <w:pPr>
        <w:pStyle w:val="afffff6"/>
        <w:ind w:firstLine="420"/>
      </w:pPr>
      <w:r>
        <w:rPr>
          <w:rFonts w:hint="eastAsia"/>
        </w:rPr>
        <w:lastRenderedPageBreak/>
        <w:t>5.3.1</w:t>
      </w:r>
      <w:r>
        <w:rPr>
          <w:rFonts w:hint="eastAsia"/>
          <w:b/>
          <w:bCs/>
        </w:rPr>
        <w:t xml:space="preserve"> </w:t>
      </w:r>
      <w:r>
        <w:rPr>
          <w:rFonts w:hint="eastAsia"/>
        </w:rPr>
        <w:t>消防系统：火灾自动报警及联动控制系统，包括智能感烟探测器、智能感温探测器、手动报警按钮、吸气式早期探测系统等；灭火设施，如消火栓系统、自动喷火灭火系统、气体灭火系统等；防烟排烟系统，如机械防烟排烟设施、补风系统等；安全疏散设施，如安全出口、疏散楼梯间、消防应急照明与疏散指示系统等；消防电话系统，在消防控制中心内设置专用火警直通对讲电话总机，在各重要场所设置火警专用电话分机，确保火灾时通信畅通；</w:t>
      </w:r>
    </w:p>
    <w:p w14:paraId="2BE96809" w14:textId="77777777" w:rsidR="00400D69" w:rsidRDefault="00000000">
      <w:pPr>
        <w:pStyle w:val="afffff6"/>
        <w:ind w:firstLine="420"/>
      </w:pPr>
      <w:r>
        <w:rPr>
          <w:rFonts w:hint="eastAsia"/>
        </w:rPr>
        <w:t>5.3.2</w:t>
      </w:r>
      <w:r>
        <w:rPr>
          <w:rFonts w:hint="eastAsia"/>
          <w:b/>
          <w:bCs/>
        </w:rPr>
        <w:t xml:space="preserve"> </w:t>
      </w:r>
      <w:r>
        <w:rPr>
          <w:rFonts w:hint="eastAsia"/>
        </w:rPr>
        <w:t>报警系统：入侵报警系统，实现周界入侵防范、室内入侵探测等功能；紧急报警系统，具有一键对讲报警功能；人防系统，建立健全安全保卫组织机构，制定安全保卫规章制度，加强人员管理和培训，实施人防物防技防相结合；</w:t>
      </w:r>
    </w:p>
    <w:p w14:paraId="3448F44B" w14:textId="77777777" w:rsidR="00400D69" w:rsidRDefault="00000000">
      <w:pPr>
        <w:pStyle w:val="afffff6"/>
        <w:ind w:firstLine="420"/>
      </w:pPr>
      <w:r>
        <w:rPr>
          <w:rFonts w:hint="eastAsia"/>
        </w:rPr>
        <w:t xml:space="preserve">5.3.3 </w:t>
      </w:r>
      <w:r>
        <w:t>应急响应</w:t>
      </w:r>
      <w:r>
        <w:rPr>
          <w:rFonts w:hint="eastAsia"/>
        </w:rPr>
        <w:t>：</w:t>
      </w:r>
      <w:r>
        <w:t>制定应急预案，明确应急处置流程、责任分工及联络方式。成立应急小组，定期开展应急培训与演练，确保相关人员熟练掌握应急操作。发生突发事件时，</w:t>
      </w:r>
      <w:r>
        <w:rPr>
          <w:rFonts w:hint="eastAsia"/>
        </w:rPr>
        <w:t>迅速响应</w:t>
      </w:r>
      <w:r>
        <w:t>并及时</w:t>
      </w:r>
      <w:r>
        <w:rPr>
          <w:rFonts w:hint="eastAsia"/>
        </w:rPr>
        <w:t>上报</w:t>
      </w:r>
      <w:r>
        <w:t>，事后形成详细的事件分析与整改报告。</w:t>
      </w:r>
    </w:p>
    <w:p w14:paraId="6DD09E9C" w14:textId="77777777" w:rsidR="00400D69" w:rsidRDefault="00000000">
      <w:pPr>
        <w:pStyle w:val="affc"/>
        <w:numPr>
          <w:ilvl w:val="1"/>
          <w:numId w:val="0"/>
        </w:numPr>
        <w:spacing w:before="312" w:after="312"/>
        <w:ind w:firstLineChars="200" w:firstLine="420"/>
        <w:rPr>
          <w:szCs w:val="21"/>
        </w:rPr>
      </w:pPr>
      <w:r>
        <w:rPr>
          <w:rFonts w:hint="eastAsia"/>
          <w:szCs w:val="21"/>
        </w:rPr>
        <w:t>6.评估与改进</w:t>
      </w:r>
    </w:p>
    <w:p w14:paraId="7761BDCE" w14:textId="77777777" w:rsidR="00400D69" w:rsidRDefault="00000000">
      <w:pPr>
        <w:pStyle w:val="afffff6"/>
        <w:ind w:firstLine="422"/>
        <w:rPr>
          <w:b/>
          <w:bCs/>
        </w:rPr>
      </w:pPr>
      <w:r>
        <w:rPr>
          <w:rFonts w:hint="eastAsia"/>
          <w:b/>
          <w:bCs/>
        </w:rPr>
        <w:t>6.1 展览效果评估</w:t>
      </w:r>
    </w:p>
    <w:p w14:paraId="7BBB80D8" w14:textId="77777777" w:rsidR="00400D69" w:rsidRDefault="00000000">
      <w:pPr>
        <w:pStyle w:val="afffff6"/>
        <w:ind w:firstLine="420"/>
      </w:pPr>
      <w:r>
        <w:rPr>
          <w:rFonts w:hint="eastAsia"/>
        </w:rPr>
        <w:t>6.1.1 建立多维度观众反馈收集体系，通过线上问卷调查（展览官网、社交媒体平台）、线下纸质问卷（展厅入口/出口处）、现场访谈、留言簿等方式，全面收集观众对展览主题呈现、展品选择、展陈形式、导览服务、参观体验等方面的评价。运用统计学方法对反馈数据进行分析，形成《观众反馈分析报告》，为展览优化提供依据;</w:t>
      </w:r>
    </w:p>
    <w:p w14:paraId="634AC5CB" w14:textId="77777777" w:rsidR="00400D69" w:rsidRDefault="00000000">
      <w:pPr>
        <w:pStyle w:val="afffff6"/>
        <w:ind w:firstLine="420"/>
      </w:pPr>
      <w:r>
        <w:rPr>
          <w:rFonts w:hint="eastAsia"/>
        </w:rPr>
        <w:t>6.1.2 邀请历史学、考古学、博物馆学等领域专家学者，通过召开学术研讨会、提交书面评审意见、开展专题访谈等方式，对展览学术内容的准确性、创新性、深度与广度进行评价，形成《学术评价分析报告》，梳理展览在学术层面的优势与不足，为后续展览策划与内容提升提供学术指导。</w:t>
      </w:r>
    </w:p>
    <w:p w14:paraId="4692E92B" w14:textId="77777777" w:rsidR="00400D69" w:rsidRDefault="00000000">
      <w:pPr>
        <w:pStyle w:val="afffff6"/>
        <w:ind w:firstLine="422"/>
        <w:rPr>
          <w:b/>
          <w:bCs/>
        </w:rPr>
      </w:pPr>
      <w:r>
        <w:rPr>
          <w:rFonts w:hint="eastAsia"/>
          <w:b/>
          <w:bCs/>
        </w:rPr>
        <w:t>6.2 持续改进机制</w:t>
      </w:r>
    </w:p>
    <w:p w14:paraId="0D07EA18" w14:textId="77777777" w:rsidR="00400D69" w:rsidRDefault="00000000">
      <w:pPr>
        <w:pStyle w:val="afffff6"/>
        <w:ind w:firstLine="420"/>
      </w:pPr>
      <w:r>
        <w:rPr>
          <w:rFonts w:hint="eastAsia"/>
        </w:rPr>
        <w:t>6.2.1</w:t>
      </w:r>
      <w:r>
        <w:rPr>
          <w:rFonts w:hint="eastAsia"/>
          <w:b/>
          <w:bCs/>
        </w:rPr>
        <w:t xml:space="preserve"> </w:t>
      </w:r>
      <w:r>
        <w:rPr>
          <w:rFonts w:hint="eastAsia"/>
        </w:rPr>
        <w:t>依据《观众反馈分析报告》《学术评价分析报告》及展览运营过程中的数据，由策展团队联合相关部门编制《展览质量综合报告》。报告需系统总结展览在内容呈现、展陈设计、观众服务、安全管理等方面的成效与不足，运用数据对比、案例分析等方式量化问题，作为展览持续改进的核心依据;</w:t>
      </w:r>
    </w:p>
    <w:p w14:paraId="03AC5B89" w14:textId="77777777" w:rsidR="00400D69" w:rsidRDefault="00000000">
      <w:pPr>
        <w:pStyle w:val="afffff6"/>
        <w:ind w:firstLine="420"/>
      </w:pPr>
      <w:r>
        <w:rPr>
          <w:rFonts w:hint="eastAsia"/>
        </w:rPr>
        <w:t>6.2.2</w:t>
      </w:r>
      <w:r>
        <w:rPr>
          <w:rFonts w:hint="eastAsia"/>
          <w:b/>
          <w:bCs/>
        </w:rPr>
        <w:t xml:space="preserve"> </w:t>
      </w:r>
      <w:r>
        <w:rPr>
          <w:rFonts w:hint="eastAsia"/>
        </w:rPr>
        <w:t>建立展览效果评级体系，从学术价值、观众满意度、运营效益、安全保障等维度设定评级指标，将展览分为优秀、良好、合格、不合格四个等级。根据质量报告评估结果，对展览进行评级。若评级为“不合格”，责任部门需在15个工作日内制定整改方案，明确整改目标、措施、责任人及完成时限。整改完成后，组织验收，并形成《整改验收报告》，未通过验收的需继续整改直至达标。</w:t>
      </w:r>
    </w:p>
    <w:p w14:paraId="06404ED2" w14:textId="77777777" w:rsidR="00400D69" w:rsidRDefault="00000000">
      <w:pPr>
        <w:pStyle w:val="affc"/>
        <w:numPr>
          <w:ilvl w:val="1"/>
          <w:numId w:val="0"/>
        </w:numPr>
        <w:spacing w:before="312" w:after="312"/>
        <w:ind w:firstLineChars="200" w:firstLine="420"/>
        <w:rPr>
          <w:szCs w:val="21"/>
        </w:rPr>
      </w:pPr>
      <w:r>
        <w:rPr>
          <w:rFonts w:hint="eastAsia"/>
          <w:szCs w:val="21"/>
        </w:rPr>
        <w:t>7.分级管理</w:t>
      </w:r>
    </w:p>
    <w:p w14:paraId="6C1C7CAB" w14:textId="77777777" w:rsidR="00400D69" w:rsidRDefault="00000000">
      <w:pPr>
        <w:pStyle w:val="afffff6"/>
        <w:ind w:firstLine="422"/>
        <w:rPr>
          <w:b/>
          <w:bCs/>
        </w:rPr>
      </w:pPr>
      <w:r>
        <w:rPr>
          <w:rFonts w:hint="eastAsia"/>
          <w:b/>
          <w:bCs/>
        </w:rPr>
        <w:t>7.1 一级场馆</w:t>
      </w:r>
    </w:p>
    <w:p w14:paraId="1BE796AC" w14:textId="77777777" w:rsidR="00400D69" w:rsidRDefault="00000000">
      <w:pPr>
        <w:pStyle w:val="afffff6"/>
        <w:ind w:firstLine="420"/>
      </w:pPr>
      <w:r>
        <w:rPr>
          <w:rFonts w:hint="eastAsia"/>
        </w:rPr>
        <w:t>一级场馆（对应中国博物馆协会认定的国家一级博物馆，具备区域内领先的展陈与服务水平）需严格执行本标准核心条款，在展览策划、文物保护、观众服务等方面发挥示范作用。</w:t>
      </w:r>
    </w:p>
    <w:p w14:paraId="1E8C035A" w14:textId="77777777" w:rsidR="00400D69" w:rsidRDefault="00000000">
      <w:pPr>
        <w:pStyle w:val="afffff6"/>
        <w:ind w:firstLine="422"/>
      </w:pPr>
      <w:r>
        <w:rPr>
          <w:rFonts w:hint="eastAsia"/>
          <w:b/>
          <w:bCs/>
        </w:rPr>
        <w:t>7.2 二级场馆</w:t>
      </w:r>
    </w:p>
    <w:p w14:paraId="7C695661" w14:textId="77777777" w:rsidR="00400D69" w:rsidRDefault="00000000">
      <w:pPr>
        <w:pStyle w:val="afffff6"/>
        <w:ind w:firstLine="420"/>
      </w:pPr>
      <w:r>
        <w:rPr>
          <w:rFonts w:hint="eastAsia"/>
        </w:rPr>
        <w:t>二级场馆（对应中国博物馆协会认定的国家二、三级博物馆，满足本地基本公共文化服务需求）需落实本标准基础条款，确保文物安全、展览正常开放。在展览形式设计、社教活动策划等工作中，可简化内部审批流程，但关键环节仍需接受文化主管部门监督。</w:t>
      </w:r>
    </w:p>
    <w:p w14:paraId="7023BA67" w14:textId="77777777" w:rsidR="00400D69" w:rsidRDefault="00000000">
      <w:pPr>
        <w:pStyle w:val="afffff6"/>
        <w:ind w:firstLine="422"/>
      </w:pPr>
      <w:r>
        <w:rPr>
          <w:rFonts w:hint="eastAsia"/>
          <w:b/>
          <w:bCs/>
        </w:rPr>
        <w:t>7.3 非国有场馆</w:t>
      </w:r>
    </w:p>
    <w:p w14:paraId="25B2E24D" w14:textId="77777777" w:rsidR="00400D69" w:rsidRDefault="00000000">
      <w:pPr>
        <w:pStyle w:val="afffff6"/>
        <w:ind w:firstLine="420"/>
      </w:pPr>
      <w:r>
        <w:rPr>
          <w:rFonts w:hint="eastAsia"/>
        </w:rPr>
        <w:lastRenderedPageBreak/>
        <w:t>非国有博物馆（其他公办、民办文博场馆）需接受文化主管部门统一监管。参照本标准基础条款执行，重点落实文物安全管理、展览内容合规、观众服务保障等核心要求。在不降低核心标准的前提下，可结合自身运营规模与资源条件，灵活调整部分非关键流程。</w:t>
      </w:r>
    </w:p>
    <w:p w14:paraId="5AA07891" w14:textId="77777777" w:rsidR="00400D69" w:rsidRDefault="00400D69">
      <w:pPr>
        <w:pStyle w:val="afffff6"/>
        <w:ind w:firstLine="420"/>
      </w:pPr>
    </w:p>
    <w:p w14:paraId="593E2F49" w14:textId="77777777" w:rsidR="00400D69" w:rsidRDefault="00400D69">
      <w:pPr>
        <w:pStyle w:val="afffff6"/>
        <w:ind w:firstLine="420"/>
      </w:pPr>
    </w:p>
    <w:p w14:paraId="41A8F0D7" w14:textId="77777777" w:rsidR="00400D69" w:rsidRDefault="00400D69">
      <w:pPr>
        <w:pStyle w:val="afffff6"/>
        <w:ind w:firstLineChars="0" w:firstLine="0"/>
      </w:pPr>
    </w:p>
    <w:p w14:paraId="092C4279" w14:textId="77777777" w:rsidR="00400D69" w:rsidRDefault="00000000">
      <w:pPr>
        <w:pStyle w:val="afffff6"/>
        <w:ind w:firstLineChars="0" w:firstLine="0"/>
        <w:jc w:val="center"/>
      </w:pPr>
      <w:bookmarkStart w:id="40" w:name="BookMark8"/>
      <w:bookmarkEnd w:id="18"/>
      <w:r>
        <w:rPr>
          <w:noProof/>
        </w:rPr>
        <w:drawing>
          <wp:inline distT="0" distB="0" distL="0" distR="0" wp14:anchorId="7FDD3877" wp14:editId="64CC3898">
            <wp:extent cx="1485900" cy="317500"/>
            <wp:effectExtent l="0" t="0" r="0" b="6350"/>
            <wp:docPr id="177634201" name="图片 1"/>
            <wp:cNvGraphicFramePr/>
            <a:graphic xmlns:a="http://schemas.openxmlformats.org/drawingml/2006/main">
              <a:graphicData uri="http://schemas.openxmlformats.org/drawingml/2006/picture">
                <pic:pic xmlns:pic="http://schemas.openxmlformats.org/drawingml/2006/picture">
                  <pic:nvPicPr>
                    <pic:cNvPr id="17763420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rsidR="00400D69">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186F9" w14:textId="77777777" w:rsidR="0016757C" w:rsidRDefault="0016757C">
      <w:pPr>
        <w:spacing w:line="240" w:lineRule="auto"/>
      </w:pPr>
      <w:r>
        <w:separator/>
      </w:r>
    </w:p>
  </w:endnote>
  <w:endnote w:type="continuationSeparator" w:id="0">
    <w:p w14:paraId="7DAABDEA" w14:textId="77777777" w:rsidR="0016757C" w:rsidRDefault="001675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3C29" w14:textId="77777777" w:rsidR="00400D69"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AB9" w14:textId="77777777" w:rsidR="00400D69" w:rsidRDefault="00400D6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2FA1B" w14:textId="77777777" w:rsidR="00400D69" w:rsidRDefault="00400D6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9CFE6" w14:textId="77777777" w:rsidR="00400D69"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15BE4" w14:textId="77777777" w:rsidR="0016757C" w:rsidRDefault="0016757C">
      <w:pPr>
        <w:spacing w:line="240" w:lineRule="auto"/>
      </w:pPr>
      <w:r>
        <w:separator/>
      </w:r>
    </w:p>
  </w:footnote>
  <w:footnote w:type="continuationSeparator" w:id="0">
    <w:p w14:paraId="6983CDED" w14:textId="77777777" w:rsidR="0016757C" w:rsidRDefault="001675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D870" w14:textId="77777777" w:rsidR="00400D69" w:rsidRDefault="00400D6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63A5" w14:textId="77777777" w:rsidR="00400D6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84BAC" w14:textId="77777777" w:rsidR="00400D69" w:rsidRDefault="00400D6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95CAE" w14:textId="77777777" w:rsidR="00400D69"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4113/T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0FB64" w14:textId="07F619FD" w:rsidR="00400D69" w:rsidRDefault="00000000">
    <w:pPr>
      <w:pStyle w:val="afffffb"/>
      <w:rPr>
        <w:rFonts w:hint="eastAsia"/>
      </w:rPr>
    </w:pPr>
    <w:r>
      <w:fldChar w:fldCharType="begin"/>
    </w:r>
    <w:r>
      <w:instrText xml:space="preserve"> STYLEREF  标准文件_文件编号  \* MERGEFORMAT </w:instrText>
    </w:r>
    <w:r>
      <w:fldChar w:fldCharType="separate"/>
    </w:r>
    <w:r w:rsidR="00905E05">
      <w:rPr>
        <w:rFonts w:hint="eastAsia"/>
        <w:noProof/>
      </w:rPr>
      <w:t>DB 4113/T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99204192">
    <w:abstractNumId w:val="0"/>
  </w:num>
  <w:num w:numId="2" w16cid:durableId="659699408">
    <w:abstractNumId w:val="27"/>
  </w:num>
  <w:num w:numId="3" w16cid:durableId="1249771575">
    <w:abstractNumId w:val="5"/>
  </w:num>
  <w:num w:numId="4" w16cid:durableId="1917861108">
    <w:abstractNumId w:val="23"/>
  </w:num>
  <w:num w:numId="5" w16cid:durableId="542132333">
    <w:abstractNumId w:val="18"/>
  </w:num>
  <w:num w:numId="6" w16cid:durableId="164907992">
    <w:abstractNumId w:val="13"/>
  </w:num>
  <w:num w:numId="7" w16cid:durableId="1546407622">
    <w:abstractNumId w:val="8"/>
  </w:num>
  <w:num w:numId="8" w16cid:durableId="846210563">
    <w:abstractNumId w:val="3"/>
  </w:num>
  <w:num w:numId="9" w16cid:durableId="1473523813">
    <w:abstractNumId w:val="9"/>
  </w:num>
  <w:num w:numId="10" w16cid:durableId="870384159">
    <w:abstractNumId w:val="16"/>
  </w:num>
  <w:num w:numId="11" w16cid:durableId="700395090">
    <w:abstractNumId w:val="25"/>
  </w:num>
  <w:num w:numId="12" w16cid:durableId="1128746774">
    <w:abstractNumId w:val="11"/>
  </w:num>
  <w:num w:numId="13" w16cid:durableId="963535230">
    <w:abstractNumId w:val="12"/>
  </w:num>
  <w:num w:numId="14" w16cid:durableId="313265550">
    <w:abstractNumId w:val="7"/>
  </w:num>
  <w:num w:numId="15" w16cid:durableId="1890608582">
    <w:abstractNumId w:val="19"/>
  </w:num>
  <w:num w:numId="16" w16cid:durableId="1934312905">
    <w:abstractNumId w:val="21"/>
  </w:num>
  <w:num w:numId="17" w16cid:durableId="1350372602">
    <w:abstractNumId w:val="17"/>
  </w:num>
  <w:num w:numId="18" w16cid:durableId="1376738147">
    <w:abstractNumId w:val="29"/>
  </w:num>
  <w:num w:numId="19" w16cid:durableId="1478647113">
    <w:abstractNumId w:val="15"/>
  </w:num>
  <w:num w:numId="20" w16cid:durableId="664674033">
    <w:abstractNumId w:val="1"/>
  </w:num>
  <w:num w:numId="21" w16cid:durableId="1704086596">
    <w:abstractNumId w:val="10"/>
  </w:num>
  <w:num w:numId="22" w16cid:durableId="298845068">
    <w:abstractNumId w:val="30"/>
  </w:num>
  <w:num w:numId="23" w16cid:durableId="1728992380">
    <w:abstractNumId w:val="20"/>
  </w:num>
  <w:num w:numId="24" w16cid:durableId="731080145">
    <w:abstractNumId w:val="6"/>
  </w:num>
  <w:num w:numId="25" w16cid:durableId="1507481411">
    <w:abstractNumId w:val="26"/>
  </w:num>
  <w:num w:numId="26" w16cid:durableId="2109764788">
    <w:abstractNumId w:val="28"/>
  </w:num>
  <w:num w:numId="27" w16cid:durableId="1995638580">
    <w:abstractNumId w:val="2"/>
  </w:num>
  <w:num w:numId="28" w16cid:durableId="1520047879">
    <w:abstractNumId w:val="4"/>
  </w:num>
  <w:num w:numId="29" w16cid:durableId="1492405090">
    <w:abstractNumId w:val="14"/>
  </w:num>
  <w:num w:numId="30" w16cid:durableId="691414384">
    <w:abstractNumId w:val="24"/>
  </w:num>
  <w:num w:numId="31" w16cid:durableId="7900526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forms" w:enforcement="1" w:cryptProviderType="rsaAES" w:cryptAlgorithmClass="hash" w:cryptAlgorithmType="typeAny" w:cryptAlgorithmSid="14" w:cryptSpinCount="100000" w:hash="o9eBQ7O/z2ZWlTf+m3ywNEWhO7N9fqlAGJIQc/J1xWcLBoHdjdOworCAww8a58j83YnJwIhfkyFC43jKrbwGLg==" w:salt="CJ5HEpiMf1FEqnad2eYez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0A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37C"/>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57C"/>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D69"/>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9F1"/>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3E1"/>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E0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D49"/>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D9C"/>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AC4"/>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AC"/>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FF09D9"/>
    <w:rsid w:val="05270255"/>
    <w:rsid w:val="077B78C9"/>
    <w:rsid w:val="123551DD"/>
    <w:rsid w:val="12503FC7"/>
    <w:rsid w:val="2097111D"/>
    <w:rsid w:val="2505609C"/>
    <w:rsid w:val="27553A8D"/>
    <w:rsid w:val="292A66DB"/>
    <w:rsid w:val="2B2E5791"/>
    <w:rsid w:val="2E5E4AEC"/>
    <w:rsid w:val="33AC1B75"/>
    <w:rsid w:val="33BF7A7E"/>
    <w:rsid w:val="37A3663C"/>
    <w:rsid w:val="3EC9634A"/>
    <w:rsid w:val="40AC52AF"/>
    <w:rsid w:val="41D03DE9"/>
    <w:rsid w:val="41EC5695"/>
    <w:rsid w:val="42F154F0"/>
    <w:rsid w:val="47A739FD"/>
    <w:rsid w:val="495C1219"/>
    <w:rsid w:val="49894553"/>
    <w:rsid w:val="4AF97ECB"/>
    <w:rsid w:val="50A76ECD"/>
    <w:rsid w:val="50D37CC2"/>
    <w:rsid w:val="588B5680"/>
    <w:rsid w:val="59973856"/>
    <w:rsid w:val="5B8E0E5D"/>
    <w:rsid w:val="5DC6470A"/>
    <w:rsid w:val="60876B65"/>
    <w:rsid w:val="620121B5"/>
    <w:rsid w:val="620162DF"/>
    <w:rsid w:val="64D439CB"/>
    <w:rsid w:val="694278B8"/>
    <w:rsid w:val="6DEC510F"/>
    <w:rsid w:val="726A4B3A"/>
    <w:rsid w:val="76502D6F"/>
    <w:rsid w:val="77387FCF"/>
    <w:rsid w:val="7A8F7CA1"/>
    <w:rsid w:val="7C741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DA5F460"/>
  <w15:docId w15:val="{FFA646AC-2CFB-493F-9CC2-E58A6F18D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qFormat/>
    <w:pPr>
      <w:spacing w:beforeAutospacing="1" w:afterAutospacing="1"/>
      <w:jc w:val="left"/>
    </w:pPr>
    <w:rPr>
      <w:kern w:val="0"/>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207E99AF564D79AD432858DCE58CFE"/>
        <w:category>
          <w:name w:val="常规"/>
          <w:gallery w:val="placeholder"/>
        </w:category>
        <w:types>
          <w:type w:val="bbPlcHdr"/>
        </w:types>
        <w:behaviors>
          <w:behavior w:val="content"/>
        </w:behaviors>
        <w:guid w:val="{7DCF8A28-4BB6-4B19-8066-59BBA00097E9}"/>
      </w:docPartPr>
      <w:docPartBody>
        <w:p w:rsidR="00512F24" w:rsidRDefault="00000000">
          <w:pPr>
            <w:pStyle w:val="48207E99AF564D79AD432858DCE58CFE"/>
            <w:rPr>
              <w:rFonts w:hint="eastAsia"/>
            </w:rPr>
          </w:pPr>
          <w:r>
            <w:rPr>
              <w:rStyle w:val="a3"/>
              <w:rFonts w:hint="eastAsia"/>
            </w:rPr>
            <w:t>单击或点击此处输入文字。</w:t>
          </w:r>
        </w:p>
      </w:docPartBody>
    </w:docPart>
    <w:docPart>
      <w:docPartPr>
        <w:name w:val="8D02658FCB1244B591B5A83527E30FAD"/>
        <w:category>
          <w:name w:val="常规"/>
          <w:gallery w:val="placeholder"/>
        </w:category>
        <w:types>
          <w:type w:val="bbPlcHdr"/>
        </w:types>
        <w:behaviors>
          <w:behavior w:val="content"/>
        </w:behaviors>
        <w:guid w:val="{76C051C0-EFE5-4667-B94B-F4762A2A8D51}"/>
      </w:docPartPr>
      <w:docPartBody>
        <w:p w:rsidR="00512F24" w:rsidRDefault="00000000">
          <w:pPr>
            <w:pStyle w:val="8D02658FCB1244B591B5A83527E30FAD"/>
            <w:rPr>
              <w:rFonts w:hint="eastAsia"/>
            </w:rPr>
          </w:pPr>
          <w:r>
            <w:rPr>
              <w:rStyle w:val="a3"/>
              <w:rFonts w:hint="eastAsia"/>
            </w:rPr>
            <w:t>选择一项。</w:t>
          </w:r>
        </w:p>
      </w:docPartBody>
    </w:docPart>
    <w:docPart>
      <w:docPartPr>
        <w:name w:val="6E8A5678FB2D44C884636A50CF2780CA"/>
        <w:category>
          <w:name w:val="常规"/>
          <w:gallery w:val="placeholder"/>
        </w:category>
        <w:types>
          <w:type w:val="bbPlcHdr"/>
        </w:types>
        <w:behaviors>
          <w:behavior w:val="content"/>
        </w:behaviors>
        <w:guid w:val="{E3816F5C-351C-4B50-89AC-4053F5D0BB27}"/>
      </w:docPartPr>
      <w:docPartBody>
        <w:p w:rsidR="00512F24" w:rsidRDefault="00000000">
          <w:pPr>
            <w:pStyle w:val="6E8A5678FB2D44C884636A50CF2780C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D1A"/>
    <w:rsid w:val="000C337C"/>
    <w:rsid w:val="001A6A91"/>
    <w:rsid w:val="00512F24"/>
    <w:rsid w:val="005A73E1"/>
    <w:rsid w:val="006E4A42"/>
    <w:rsid w:val="00D90463"/>
    <w:rsid w:val="00DF7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8207E99AF564D79AD432858DCE58CFE">
    <w:name w:val="48207E99AF564D79AD432858DCE58CFE"/>
    <w:qFormat/>
    <w:pPr>
      <w:widowControl w:val="0"/>
      <w:jc w:val="both"/>
    </w:pPr>
    <w:rPr>
      <w:kern w:val="2"/>
      <w:sz w:val="21"/>
      <w:szCs w:val="22"/>
      <w14:ligatures w14:val="standardContextual"/>
    </w:rPr>
  </w:style>
  <w:style w:type="paragraph" w:customStyle="1" w:styleId="8D02658FCB1244B591B5A83527E30FAD">
    <w:name w:val="8D02658FCB1244B591B5A83527E30FAD"/>
    <w:qFormat/>
    <w:pPr>
      <w:widowControl w:val="0"/>
      <w:jc w:val="both"/>
    </w:pPr>
    <w:rPr>
      <w:kern w:val="2"/>
      <w:sz w:val="21"/>
      <w:szCs w:val="22"/>
      <w14:ligatures w14:val="standardContextual"/>
    </w:rPr>
  </w:style>
  <w:style w:type="paragraph" w:customStyle="1" w:styleId="6E8A5678FB2D44C884636A50CF2780CA">
    <w:name w:val="6E8A5678FB2D44C884636A50CF2780CA"/>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10</TotalTime>
  <Pages>9</Pages>
  <Words>1007</Words>
  <Characters>5741</Characters>
  <Application>Microsoft Office Word</Application>
  <DocSecurity>0</DocSecurity>
  <Lines>47</Lines>
  <Paragraphs>13</Paragraphs>
  <ScaleCrop>false</ScaleCrop>
  <Company>PCMI</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磊 方</cp:lastModifiedBy>
  <cp:revision>3</cp:revision>
  <cp:lastPrinted>2025-06-20T01:23:00Z</cp:lastPrinted>
  <dcterms:created xsi:type="dcterms:W3CDTF">2023-06-27T02:44:00Z</dcterms:created>
  <dcterms:modified xsi:type="dcterms:W3CDTF">2025-06-30T00:53:00Z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eyJoZGlkIjoiZmFjOWM5ZDNiYzNiYjE5OWI2MmFiNGU4NDM4MDkxNzQiLCJ1c2VySWQiOiIxMDMyNDczNDY3In0=</vt:lpwstr>
  </property>
  <property fmtid="{D5CDD505-2E9C-101B-9397-08002B2CF9AE}" pid="15" name="KSOProductBuildVer">
    <vt:lpwstr>2052-12.1.0.21541</vt:lpwstr>
  </property>
  <property fmtid="{D5CDD505-2E9C-101B-9397-08002B2CF9AE}" pid="16" name="ICV">
    <vt:lpwstr>1C8D7AB9977445DCA8805F9F2C0DBFED_13</vt:lpwstr>
  </property>
</Properties>
</file>