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F0CA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2AB16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0D9B72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7A0BE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B6485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17ABF7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8CEDC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82A2E36">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04E13BA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EB08D23">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7"/>
    </w:p>
    <w:p w14:paraId="1C98566D">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DA118E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22C65CA">
      <w:pPr>
        <w:pStyle w:val="51"/>
        <w:framePr w:w="9639" w:h="6976" w:hRule="exact" w:hSpace="0" w:vSpace="0" w:wrap="around" w:hAnchor="page" w:y="6408"/>
        <w:jc w:val="center"/>
        <w:rPr>
          <w:rFonts w:ascii="黑体" w:hAnsi="黑体" w:eastAsia="黑体"/>
          <w:b w:val="0"/>
          <w:bCs w:val="0"/>
          <w:w w:val="100"/>
        </w:rPr>
      </w:pPr>
    </w:p>
    <w:p w14:paraId="22DB12E3">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夏枯草种植技术规程</w:t>
      </w:r>
      <w:r>
        <w:fldChar w:fldCharType="end"/>
      </w:r>
      <w:bookmarkEnd w:id="9"/>
    </w:p>
    <w:p w14:paraId="61590947">
      <w:pPr>
        <w:framePr w:w="9639" w:h="6974" w:hRule="exact" w:wrap="around" w:vAnchor="page" w:hAnchor="page" w:x="1419" w:y="6408" w:anchorLock="1"/>
        <w:ind w:left="-1418"/>
      </w:pPr>
    </w:p>
    <w:p w14:paraId="0F11292B">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w:t>
      </w:r>
      <w:r>
        <w:rPr>
          <w:rFonts w:eastAsia="黑体"/>
          <w:szCs w:val="28"/>
        </w:rPr>
        <w:fldChar w:fldCharType="end"/>
      </w:r>
      <w:bookmarkEnd w:id="10"/>
    </w:p>
    <w:p w14:paraId="6236CB8C">
      <w:pPr>
        <w:framePr w:w="9639" w:h="6974" w:hRule="exact" w:wrap="around" w:vAnchor="page" w:hAnchor="page" w:x="1419" w:y="6408" w:anchorLock="1"/>
        <w:spacing w:line="760" w:lineRule="exact"/>
        <w:ind w:left="-1418"/>
      </w:pPr>
    </w:p>
    <w:p w14:paraId="2853C0A3">
      <w:pPr>
        <w:pStyle w:val="126"/>
        <w:framePr w:w="9639" w:h="6974" w:hRule="exact" w:wrap="around" w:vAnchor="page" w:hAnchor="page" w:x="1419" w:y="6408" w:anchorLock="1"/>
        <w:textAlignment w:val="bottom"/>
        <w:rPr>
          <w:rFonts w:eastAsia="黑体"/>
          <w:szCs w:val="28"/>
        </w:rPr>
      </w:pPr>
    </w:p>
    <w:p w14:paraId="1644C8F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1AFB9A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 xml:space="preserve"> </w:t>
      </w:r>
      <w:r>
        <w:rPr>
          <w:sz w:val="21"/>
          <w:szCs w:val="28"/>
        </w:rPr>
        <w:fldChar w:fldCharType="end"/>
      </w:r>
      <w:bookmarkEnd w:id="12"/>
    </w:p>
    <w:p w14:paraId="12C8EA3F">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4D7FE93">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FA59A48">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0E2BAFB">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4B9945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78FB2E64">
      <w:pPr>
        <w:pStyle w:val="92"/>
        <w:spacing w:after="468"/>
        <w:rPr>
          <w:rFonts w:hint="eastAsia"/>
        </w:rPr>
      </w:pPr>
      <w:bookmarkStart w:id="87" w:name="_GoBack"/>
      <w:bookmarkEnd w:id="87"/>
      <w:bookmarkStart w:id="21" w:name="BookMark1"/>
      <w:bookmarkStart w:id="22" w:name="_Toc1978350678"/>
      <w:bookmarkStart w:id="23" w:name="_Toc12079"/>
      <w:r>
        <w:rPr>
          <w:rFonts w:hint="eastAsia"/>
          <w:spacing w:val="320"/>
        </w:rPr>
        <w:t>目</w:t>
      </w:r>
      <w:r>
        <w:rPr>
          <w:rFonts w:hint="eastAsia"/>
        </w:rPr>
        <w:t>次</w:t>
      </w:r>
    </w:p>
    <w:p w14:paraId="2DF8932F">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"_Toc192602863" </w:instrText>
      </w:r>
      <w:r>
        <w:fldChar w:fldCharType="separate"/>
      </w:r>
      <w:r>
        <w:rPr>
          <w:rStyle w:val="33"/>
          <w:rFonts w:hint="eastAsia"/>
          <w:spacing w:val="320"/>
        </w:rPr>
        <w:t>前</w:t>
      </w:r>
      <w:r>
        <w:rPr>
          <w:rStyle w:val="33"/>
          <w:rFonts w:hint="eastAsia"/>
        </w:rPr>
        <w:t>言</w:t>
      </w:r>
      <w:r>
        <w:tab/>
      </w:r>
      <w:r>
        <w:fldChar w:fldCharType="begin"/>
      </w:r>
      <w:r>
        <w:instrText xml:space="preserve"> PAGEREF _Toc192602863 \h </w:instrText>
      </w:r>
      <w:r>
        <w:fldChar w:fldCharType="separate"/>
      </w:r>
      <w:r>
        <w:t>II</w:t>
      </w:r>
      <w:r>
        <w:fldChar w:fldCharType="end"/>
      </w:r>
      <w:r>
        <w:fldChar w:fldCharType="end"/>
      </w:r>
    </w:p>
    <w:p w14:paraId="443C93DD">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"_Toc192602864" </w:instrText>
      </w:r>
      <w:r>
        <w:fldChar w:fldCharType="separate"/>
      </w:r>
      <w:r>
        <w:rPr>
          <w:rStyle w:val="33"/>
        </w:rPr>
        <w:t>1</w:t>
      </w:r>
      <w:r>
        <w:rPr>
          <w:rStyle w:val="33"/>
          <w:rFonts w:hint="eastAsia"/>
        </w:rPr>
        <w:t xml:space="preserve"> 范围</w:t>
      </w:r>
      <w:r>
        <w:tab/>
      </w:r>
      <w:r>
        <w:fldChar w:fldCharType="begin"/>
      </w:r>
      <w:r>
        <w:instrText xml:space="preserve"> PAGEREF _Toc192602864 \h </w:instrText>
      </w:r>
      <w:r>
        <w:fldChar w:fldCharType="separate"/>
      </w:r>
      <w:r>
        <w:t>3</w:t>
      </w:r>
      <w:r>
        <w:fldChar w:fldCharType="end"/>
      </w:r>
      <w:r>
        <w:fldChar w:fldCharType="end"/>
      </w:r>
    </w:p>
    <w:p w14:paraId="2C60D7C2">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"_Toc192602865" </w:instrText>
      </w:r>
      <w:r>
        <w:fldChar w:fldCharType="separate"/>
      </w:r>
      <w:r>
        <w:rPr>
          <w:rStyle w:val="33"/>
        </w:rPr>
        <w:t>2</w:t>
      </w:r>
      <w:r>
        <w:rPr>
          <w:rStyle w:val="33"/>
          <w:rFonts w:hint="eastAsia"/>
        </w:rPr>
        <w:t xml:space="preserve"> 规范性引用文件</w:t>
      </w:r>
      <w:r>
        <w:tab/>
      </w:r>
      <w:r>
        <w:fldChar w:fldCharType="begin"/>
      </w:r>
      <w:r>
        <w:instrText xml:space="preserve"> PAGEREF _Toc192602865 \h </w:instrText>
      </w:r>
      <w:r>
        <w:fldChar w:fldCharType="separate"/>
      </w:r>
      <w:r>
        <w:t>3</w:t>
      </w:r>
      <w:r>
        <w:fldChar w:fldCharType="end"/>
      </w:r>
      <w:r>
        <w:fldChar w:fldCharType="end"/>
      </w:r>
    </w:p>
    <w:p w14:paraId="35AB0D44">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"_Toc192602866" </w:instrText>
      </w:r>
      <w:r>
        <w:fldChar w:fldCharType="separate"/>
      </w:r>
      <w:r>
        <w:rPr>
          <w:rStyle w:val="33"/>
        </w:rPr>
        <w:t>3</w:t>
      </w:r>
      <w:r>
        <w:rPr>
          <w:rStyle w:val="33"/>
          <w:rFonts w:hint="eastAsia"/>
        </w:rPr>
        <w:t xml:space="preserve"> 术语和定义</w:t>
      </w:r>
      <w:r>
        <w:tab/>
      </w:r>
      <w:r>
        <w:fldChar w:fldCharType="begin"/>
      </w:r>
      <w:r>
        <w:instrText xml:space="preserve"> PAGEREF _Toc192602866 \h </w:instrText>
      </w:r>
      <w:r>
        <w:fldChar w:fldCharType="separate"/>
      </w:r>
      <w:r>
        <w:t>3</w:t>
      </w:r>
      <w:r>
        <w:fldChar w:fldCharType="end"/>
      </w:r>
      <w:r>
        <w:fldChar w:fldCharType="end"/>
      </w:r>
    </w:p>
    <w:p w14:paraId="76FF2668">
      <w:pPr>
        <w:pStyle w:val="25"/>
        <w:rPr>
          <w:rFonts w:asciiTheme="minorHAnsi" w:hAnsiTheme="minorHAnsi" w:eastAsiaTheme="minorEastAsia" w:cstheme="minorBidi"/>
          <w:szCs w:val="22"/>
        </w:rPr>
      </w:pPr>
      <w:r>
        <w:fldChar w:fldCharType="begin"/>
      </w:r>
      <w:r>
        <w:instrText xml:space="preserve"> HYPERLINK \l "_Toc192602867" </w:instrText>
      </w:r>
      <w:r>
        <w:fldChar w:fldCharType="separate"/>
      </w:r>
      <w:r>
        <w:rPr>
          <w:rStyle w:val="33"/>
        </w:rPr>
        <w:t>3.1</w:t>
      </w:r>
      <w:r>
        <w:tab/>
      </w:r>
      <w:r>
        <w:fldChar w:fldCharType="begin"/>
      </w:r>
      <w:r>
        <w:instrText xml:space="preserve"> PAGEREF _Toc192602867 \h </w:instrText>
      </w:r>
      <w:r>
        <w:fldChar w:fldCharType="separate"/>
      </w:r>
      <w:r>
        <w:t>3</w:t>
      </w:r>
      <w:r>
        <w:fldChar w:fldCharType="end"/>
      </w:r>
      <w:r>
        <w:fldChar w:fldCharType="end"/>
      </w:r>
    </w:p>
    <w:p w14:paraId="5A17F411">
      <w:pPr>
        <w:pStyle w:val="25"/>
        <w:rPr>
          <w:rFonts w:asciiTheme="minorHAnsi" w:hAnsiTheme="minorHAnsi" w:eastAsiaTheme="minorEastAsia" w:cstheme="minorBidi"/>
          <w:szCs w:val="22"/>
        </w:rPr>
      </w:pPr>
      <w:r>
        <w:fldChar w:fldCharType="begin"/>
      </w:r>
      <w:r>
        <w:instrText xml:space="preserve"> HYPERLINK \l "_Toc192602868" </w:instrText>
      </w:r>
      <w:r>
        <w:fldChar w:fldCharType="separate"/>
      </w:r>
      <w:r>
        <w:rPr>
          <w:rStyle w:val="33"/>
          <w:rFonts w:hint="eastAsia"/>
        </w:rPr>
        <w:t>夏枯草</w:t>
      </w:r>
      <w:r>
        <w:tab/>
      </w:r>
      <w:r>
        <w:fldChar w:fldCharType="begin"/>
      </w:r>
      <w:r>
        <w:instrText xml:space="preserve"> PAGEREF _Toc192602868 \h </w:instrText>
      </w:r>
      <w:r>
        <w:fldChar w:fldCharType="separate"/>
      </w:r>
      <w:r>
        <w:t>3</w:t>
      </w:r>
      <w:r>
        <w:fldChar w:fldCharType="end"/>
      </w:r>
      <w:r>
        <w:fldChar w:fldCharType="end"/>
      </w:r>
    </w:p>
    <w:p w14:paraId="27877759">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"_Toc192602869" </w:instrText>
      </w:r>
      <w:r>
        <w:fldChar w:fldCharType="separate"/>
      </w:r>
      <w:r>
        <w:rPr>
          <w:rStyle w:val="33"/>
        </w:rPr>
        <w:t>4</w:t>
      </w:r>
      <w:r>
        <w:rPr>
          <w:rStyle w:val="33"/>
          <w:rFonts w:hint="eastAsia"/>
        </w:rPr>
        <w:t xml:space="preserve"> 产地环境</w:t>
      </w:r>
      <w:r>
        <w:tab/>
      </w:r>
      <w:r>
        <w:fldChar w:fldCharType="begin"/>
      </w:r>
      <w:r>
        <w:instrText xml:space="preserve"> PAGEREF _Toc192602869 \h </w:instrText>
      </w:r>
      <w:r>
        <w:fldChar w:fldCharType="separate"/>
      </w:r>
      <w:r>
        <w:t>4</w:t>
      </w:r>
      <w:r>
        <w:fldChar w:fldCharType="end"/>
      </w:r>
      <w:r>
        <w:fldChar w:fldCharType="end"/>
      </w:r>
    </w:p>
    <w:p w14:paraId="221FCBC4">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"_Toc192602870" </w:instrText>
      </w:r>
      <w:r>
        <w:fldChar w:fldCharType="separate"/>
      </w:r>
      <w:r>
        <w:rPr>
          <w:rStyle w:val="33"/>
        </w:rPr>
        <w:t>5</w:t>
      </w:r>
      <w:r>
        <w:rPr>
          <w:rStyle w:val="33"/>
          <w:rFonts w:hint="eastAsia"/>
        </w:rPr>
        <w:t xml:space="preserve"> 种植技术</w:t>
      </w:r>
      <w:r>
        <w:tab/>
      </w:r>
      <w:r>
        <w:fldChar w:fldCharType="begin"/>
      </w:r>
      <w:r>
        <w:instrText xml:space="preserve"> PAGEREF _Toc192602870 \h </w:instrText>
      </w:r>
      <w:r>
        <w:fldChar w:fldCharType="separate"/>
      </w:r>
      <w:r>
        <w:t>4</w:t>
      </w:r>
      <w:r>
        <w:fldChar w:fldCharType="end"/>
      </w:r>
      <w:r>
        <w:fldChar w:fldCharType="end"/>
      </w:r>
    </w:p>
    <w:p w14:paraId="623C9255">
      <w:pPr>
        <w:pStyle w:val="25"/>
        <w:rPr>
          <w:rFonts w:asciiTheme="minorHAnsi" w:hAnsiTheme="minorHAnsi" w:eastAsiaTheme="minorEastAsia" w:cstheme="minorBidi"/>
          <w:szCs w:val="22"/>
        </w:rPr>
      </w:pPr>
      <w:r>
        <w:fldChar w:fldCharType="begin"/>
      </w:r>
      <w:r>
        <w:instrText xml:space="preserve"> HYPERLINK \l "_Toc192602871" </w:instrText>
      </w:r>
      <w:r>
        <w:fldChar w:fldCharType="separate"/>
      </w:r>
      <w:r>
        <w:rPr>
          <w:rStyle w:val="33"/>
        </w:rPr>
        <w:t>5.1</w:t>
      </w:r>
      <w:r>
        <w:rPr>
          <w:rStyle w:val="33"/>
          <w:rFonts w:hint="eastAsia"/>
        </w:rPr>
        <w:t xml:space="preserve"> 选地</w:t>
      </w:r>
      <w:r>
        <w:tab/>
      </w:r>
      <w:r>
        <w:fldChar w:fldCharType="begin"/>
      </w:r>
      <w:r>
        <w:instrText xml:space="preserve"> PAGEREF _Toc192602871 \h </w:instrText>
      </w:r>
      <w:r>
        <w:fldChar w:fldCharType="separate"/>
      </w:r>
      <w:r>
        <w:t>4</w:t>
      </w:r>
      <w:r>
        <w:fldChar w:fldCharType="end"/>
      </w:r>
      <w:r>
        <w:fldChar w:fldCharType="end"/>
      </w:r>
    </w:p>
    <w:p w14:paraId="3837D886">
      <w:pPr>
        <w:pStyle w:val="25"/>
        <w:rPr>
          <w:rFonts w:asciiTheme="minorHAnsi" w:hAnsiTheme="minorHAnsi" w:eastAsiaTheme="minorEastAsia" w:cstheme="minorBidi"/>
          <w:szCs w:val="22"/>
        </w:rPr>
      </w:pPr>
      <w:r>
        <w:fldChar w:fldCharType="begin"/>
      </w:r>
      <w:r>
        <w:instrText xml:space="preserve"> HYPERLINK \l "_Toc192602872" </w:instrText>
      </w:r>
      <w:r>
        <w:fldChar w:fldCharType="separate"/>
      </w:r>
      <w:r>
        <w:rPr>
          <w:rStyle w:val="33"/>
        </w:rPr>
        <w:t>5.2</w:t>
      </w:r>
      <w:r>
        <w:rPr>
          <w:rStyle w:val="33"/>
          <w:rFonts w:hint="eastAsia"/>
        </w:rPr>
        <w:t xml:space="preserve"> 整地</w:t>
      </w:r>
      <w:r>
        <w:tab/>
      </w:r>
      <w:r>
        <w:fldChar w:fldCharType="begin"/>
      </w:r>
      <w:r>
        <w:instrText xml:space="preserve"> PAGEREF _Toc192602872 \h </w:instrText>
      </w:r>
      <w:r>
        <w:fldChar w:fldCharType="separate"/>
      </w:r>
      <w:r>
        <w:t>4</w:t>
      </w:r>
      <w:r>
        <w:fldChar w:fldCharType="end"/>
      </w:r>
      <w:r>
        <w:fldChar w:fldCharType="end"/>
      </w:r>
    </w:p>
    <w:p w14:paraId="05195D27">
      <w:pPr>
        <w:pStyle w:val="25"/>
        <w:rPr>
          <w:rFonts w:asciiTheme="minorHAnsi" w:hAnsiTheme="minorHAnsi" w:eastAsiaTheme="minorEastAsia" w:cstheme="minorBidi"/>
          <w:szCs w:val="22"/>
        </w:rPr>
      </w:pPr>
      <w:r>
        <w:fldChar w:fldCharType="begin"/>
      </w:r>
      <w:r>
        <w:instrText xml:space="preserve"> HYPERLINK \l "_Toc192602873" </w:instrText>
      </w:r>
      <w:r>
        <w:fldChar w:fldCharType="separate"/>
      </w:r>
      <w:r>
        <w:rPr>
          <w:rStyle w:val="33"/>
        </w:rPr>
        <w:t>5.3</w:t>
      </w:r>
      <w:r>
        <w:rPr>
          <w:rStyle w:val="33"/>
          <w:rFonts w:hint="eastAsia"/>
        </w:rPr>
        <w:t xml:space="preserve"> 选种</w:t>
      </w:r>
      <w:r>
        <w:tab/>
      </w:r>
      <w:r>
        <w:fldChar w:fldCharType="begin"/>
      </w:r>
      <w:r>
        <w:instrText xml:space="preserve"> PAGEREF _Toc192602873 \h </w:instrText>
      </w:r>
      <w:r>
        <w:fldChar w:fldCharType="separate"/>
      </w:r>
      <w:r>
        <w:t>4</w:t>
      </w:r>
      <w:r>
        <w:fldChar w:fldCharType="end"/>
      </w:r>
      <w:r>
        <w:fldChar w:fldCharType="end"/>
      </w:r>
    </w:p>
    <w:p w14:paraId="2A7EEA40">
      <w:pPr>
        <w:pStyle w:val="25"/>
        <w:rPr>
          <w:rFonts w:asciiTheme="minorHAnsi" w:hAnsiTheme="minorHAnsi" w:eastAsiaTheme="minorEastAsia" w:cstheme="minorBidi"/>
          <w:szCs w:val="22"/>
        </w:rPr>
      </w:pPr>
      <w:r>
        <w:fldChar w:fldCharType="begin"/>
      </w:r>
      <w:r>
        <w:instrText xml:space="preserve"> HYPERLINK \l "_Toc192602874" </w:instrText>
      </w:r>
      <w:r>
        <w:fldChar w:fldCharType="separate"/>
      </w:r>
      <w:r>
        <w:rPr>
          <w:rStyle w:val="33"/>
        </w:rPr>
        <w:t>5.4</w:t>
      </w:r>
      <w:r>
        <w:rPr>
          <w:rStyle w:val="33"/>
          <w:rFonts w:hint="eastAsia"/>
        </w:rPr>
        <w:t xml:space="preserve"> 种植方式</w:t>
      </w:r>
      <w:r>
        <w:tab/>
      </w:r>
      <w:r>
        <w:fldChar w:fldCharType="begin"/>
      </w:r>
      <w:r>
        <w:instrText xml:space="preserve"> PAGEREF _Toc192602874 \h </w:instrText>
      </w:r>
      <w:r>
        <w:fldChar w:fldCharType="separate"/>
      </w:r>
      <w:r>
        <w:t>4</w:t>
      </w:r>
      <w:r>
        <w:fldChar w:fldCharType="end"/>
      </w:r>
      <w:r>
        <w:fldChar w:fldCharType="end"/>
      </w:r>
    </w:p>
    <w:p w14:paraId="78FBC301">
      <w:pPr>
        <w:pStyle w:val="25"/>
        <w:rPr>
          <w:rFonts w:asciiTheme="minorHAnsi" w:hAnsiTheme="minorHAnsi" w:eastAsiaTheme="minorEastAsia" w:cstheme="minorBidi"/>
          <w:szCs w:val="22"/>
        </w:rPr>
      </w:pPr>
      <w:r>
        <w:fldChar w:fldCharType="begin"/>
      </w:r>
      <w:r>
        <w:instrText xml:space="preserve"> HYPERLINK \l "_Toc192602875" </w:instrText>
      </w:r>
      <w:r>
        <w:fldChar w:fldCharType="separate"/>
      </w:r>
      <w:r>
        <w:rPr>
          <w:rStyle w:val="33"/>
        </w:rPr>
        <w:t>5.5</w:t>
      </w:r>
      <w:r>
        <w:rPr>
          <w:rStyle w:val="33"/>
          <w:rFonts w:hint="eastAsia"/>
        </w:rPr>
        <w:t xml:space="preserve"> 田间管理</w:t>
      </w:r>
      <w:r>
        <w:tab/>
      </w:r>
      <w:r>
        <w:fldChar w:fldCharType="begin"/>
      </w:r>
      <w:r>
        <w:instrText xml:space="preserve"> PAGEREF _Toc192602875 \h </w:instrText>
      </w:r>
      <w:r>
        <w:fldChar w:fldCharType="separate"/>
      </w:r>
      <w:r>
        <w:t>5</w:t>
      </w:r>
      <w:r>
        <w:fldChar w:fldCharType="end"/>
      </w:r>
      <w:r>
        <w:fldChar w:fldCharType="end"/>
      </w:r>
    </w:p>
    <w:p w14:paraId="40902563">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"_Toc192602876" </w:instrText>
      </w:r>
      <w:r>
        <w:fldChar w:fldCharType="separate"/>
      </w:r>
      <w:r>
        <w:rPr>
          <w:rStyle w:val="33"/>
        </w:rPr>
        <w:t>6</w:t>
      </w:r>
      <w:r>
        <w:rPr>
          <w:rStyle w:val="33"/>
          <w:rFonts w:hint="eastAsia"/>
        </w:rPr>
        <w:t xml:space="preserve"> 病虫害防治</w:t>
      </w:r>
      <w:r>
        <w:tab/>
      </w:r>
      <w:r>
        <w:fldChar w:fldCharType="begin"/>
      </w:r>
      <w:r>
        <w:instrText xml:space="preserve"> PAGEREF _Toc192602876 \h </w:instrText>
      </w:r>
      <w:r>
        <w:fldChar w:fldCharType="separate"/>
      </w:r>
      <w:r>
        <w:t>6</w:t>
      </w:r>
      <w:r>
        <w:fldChar w:fldCharType="end"/>
      </w:r>
      <w:r>
        <w:fldChar w:fldCharType="end"/>
      </w:r>
    </w:p>
    <w:p w14:paraId="731FA829">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"_Toc192602877" </w:instrText>
      </w:r>
      <w:r>
        <w:fldChar w:fldCharType="separate"/>
      </w:r>
      <w:r>
        <w:rPr>
          <w:rStyle w:val="33"/>
        </w:rPr>
        <w:t>7</w:t>
      </w:r>
      <w:r>
        <w:rPr>
          <w:rStyle w:val="33"/>
          <w:rFonts w:hint="eastAsia"/>
        </w:rPr>
        <w:t xml:space="preserve"> 采收</w:t>
      </w:r>
      <w:r>
        <w:tab/>
      </w:r>
      <w:r>
        <w:fldChar w:fldCharType="begin"/>
      </w:r>
      <w:r>
        <w:instrText xml:space="preserve"> PAGEREF _Toc192602877 \h </w:instrText>
      </w:r>
      <w:r>
        <w:fldChar w:fldCharType="separate"/>
      </w:r>
      <w:r>
        <w:t>6</w:t>
      </w:r>
      <w:r>
        <w:fldChar w:fldCharType="end"/>
      </w:r>
      <w:r>
        <w:fldChar w:fldCharType="end"/>
      </w:r>
    </w:p>
    <w:p w14:paraId="143B3C52">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"_Toc192602878" </w:instrText>
      </w:r>
      <w:r>
        <w:fldChar w:fldCharType="separate"/>
      </w:r>
      <w:r>
        <w:rPr>
          <w:rStyle w:val="33"/>
        </w:rPr>
        <w:t>8</w:t>
      </w:r>
      <w:r>
        <w:rPr>
          <w:rStyle w:val="33"/>
          <w:rFonts w:hint="eastAsia"/>
        </w:rPr>
        <w:t xml:space="preserve"> 运输和储藏</w:t>
      </w:r>
      <w:r>
        <w:tab/>
      </w:r>
      <w:r>
        <w:fldChar w:fldCharType="begin"/>
      </w:r>
      <w:r>
        <w:instrText xml:space="preserve"> PAGEREF _Toc192602878 \h </w:instrText>
      </w:r>
      <w:r>
        <w:fldChar w:fldCharType="separate"/>
      </w:r>
      <w:r>
        <w:t>6</w:t>
      </w:r>
      <w:r>
        <w:fldChar w:fldCharType="end"/>
      </w:r>
      <w:r>
        <w:fldChar w:fldCharType="end"/>
      </w:r>
    </w:p>
    <w:p w14:paraId="69E74B54">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"_Toc192602879" </w:instrText>
      </w:r>
      <w:r>
        <w:fldChar w:fldCharType="separate"/>
      </w:r>
      <w:r>
        <w:rPr>
          <w:rStyle w:val="33"/>
        </w:rPr>
        <w:t>9</w:t>
      </w:r>
      <w:r>
        <w:rPr>
          <w:rStyle w:val="33"/>
          <w:rFonts w:hint="eastAsia"/>
        </w:rPr>
        <w:t xml:space="preserve"> 质量要求</w:t>
      </w:r>
      <w:r>
        <w:tab/>
      </w:r>
      <w:r>
        <w:fldChar w:fldCharType="begin"/>
      </w:r>
      <w:r>
        <w:instrText xml:space="preserve"> PAGEREF _Toc192602879 \h </w:instrText>
      </w:r>
      <w:r>
        <w:fldChar w:fldCharType="separate"/>
      </w:r>
      <w:r>
        <w:t>6</w:t>
      </w:r>
      <w:r>
        <w:fldChar w:fldCharType="end"/>
      </w:r>
      <w:r>
        <w:fldChar w:fldCharType="end"/>
      </w:r>
    </w:p>
    <w:p w14:paraId="22079CA5">
      <w:pPr>
        <w:pStyle w:val="20"/>
        <w:tabs>
          <w:tab w:val="right" w:leader="dot" w:pos="9344"/>
        </w:tabs>
        <w:rPr>
          <w:rFonts w:asciiTheme="minorHAnsi" w:hAnsiTheme="minorHAnsi" w:eastAsiaTheme="minorEastAsia" w:cstheme="minorBidi"/>
          <w:szCs w:val="22"/>
        </w:rPr>
      </w:pPr>
      <w:r>
        <w:fldChar w:fldCharType="begin"/>
      </w:r>
      <w:r>
        <w:instrText xml:space="preserve"> HYPERLINK \l "_Toc192602880" </w:instrText>
      </w:r>
      <w:r>
        <w:fldChar w:fldCharType="separate"/>
      </w:r>
      <w:r>
        <w:rPr>
          <w:rStyle w:val="33"/>
          <w:rFonts w:hint="eastAsia"/>
          <w:spacing w:val="100"/>
        </w:rPr>
        <w:t>附录A</w:t>
      </w:r>
      <w:r>
        <w:rPr>
          <w:rStyle w:val="33"/>
          <w:rFonts w:hint="eastAsia"/>
        </w:rPr>
        <w:t xml:space="preserve"> （资料性）</w:t>
      </w:r>
      <w:r>
        <w:rPr>
          <w:rStyle w:val="33"/>
        </w:rPr>
        <w:t xml:space="preserve"> </w:t>
      </w:r>
      <w:r>
        <w:rPr>
          <w:rStyle w:val="33"/>
          <w:rFonts w:hint="eastAsia"/>
        </w:rPr>
        <w:t>夏枯草主要病虫害及防治方法</w:t>
      </w:r>
      <w:r>
        <w:tab/>
      </w:r>
      <w:r>
        <w:fldChar w:fldCharType="begin"/>
      </w:r>
      <w:r>
        <w:instrText xml:space="preserve"> PAGEREF _Toc192602880 \h </w:instrText>
      </w:r>
      <w:r>
        <w:fldChar w:fldCharType="separate"/>
      </w:r>
      <w:r>
        <w:t>7</w:t>
      </w:r>
      <w:r>
        <w:fldChar w:fldCharType="end"/>
      </w:r>
      <w:r>
        <w:fldChar w:fldCharType="end"/>
      </w:r>
    </w:p>
    <w:p w14:paraId="1F3BFAFB">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3CED1889">
      <w:pPr>
        <w:pStyle w:val="90"/>
        <w:numPr>
          <w:ilvl w:val="0"/>
          <w:numId w:val="0"/>
        </w:numPr>
        <w:spacing w:after="468"/>
      </w:pPr>
      <w:bookmarkStart w:id="24" w:name="_Toc192602863"/>
      <w:bookmarkStart w:id="25" w:name="BookMark2"/>
      <w:r>
        <w:rPr>
          <w:spacing w:val="320"/>
        </w:rPr>
        <w:t>前</w:t>
      </w:r>
      <w:r>
        <w:t>言</w:t>
      </w:r>
      <w:bookmarkEnd w:id="22"/>
      <w:bookmarkEnd w:id="23"/>
      <w:bookmarkEnd w:id="24"/>
    </w:p>
    <w:p w14:paraId="0F992447">
      <w:pPr>
        <w:pStyle w:val="57"/>
        <w:ind w:firstLine="420"/>
      </w:pPr>
      <w:r>
        <w:rPr>
          <w:rFonts w:hint="eastAsia"/>
        </w:rPr>
        <w:t>本文件按照GB/T 1.1—2020《标准化工作导则  第1部分：标准化文件的结构和起草规则》的规定起草。</w:t>
      </w:r>
    </w:p>
    <w:p w14:paraId="69EC1E05">
      <w:pPr>
        <w:pStyle w:val="57"/>
        <w:ind w:firstLine="420"/>
      </w:pPr>
      <w:r>
        <w:rPr>
          <w:rFonts w:hint="eastAsia"/>
        </w:rPr>
        <w:t>本文件由南阳市中医药发展局提出并归口。</w:t>
      </w:r>
    </w:p>
    <w:p w14:paraId="76680276">
      <w:pPr>
        <w:pStyle w:val="57"/>
        <w:ind w:left="210" w:leftChars="100" w:firstLine="210" w:firstLineChars="100"/>
      </w:pPr>
      <w:r>
        <w:rPr>
          <w:rFonts w:hint="eastAsia"/>
        </w:rPr>
        <w:t>本文件起草单位：南阳市科学院 河南省农业科学院中药材研究所 河南中医药大学 宛城区农业广播学校</w:t>
      </w:r>
      <w:r>
        <w:rPr>
          <w:rFonts w:hint="eastAsia" w:hAnsi="宋体" w:cs="宋体"/>
          <w:snapToGrid w:val="0"/>
          <w:color w:val="000000"/>
          <w:spacing w:val="-5"/>
          <w:sz w:val="24"/>
          <w:szCs w:val="24"/>
        </w:rPr>
        <w:t xml:space="preserve"> </w:t>
      </w:r>
      <w:r>
        <w:rPr>
          <w:rFonts w:hint="eastAsia"/>
        </w:rPr>
        <w:t>南阳市农业技术推广中心  濮阳市农业综合行政执法大队</w:t>
      </w:r>
    </w:p>
    <w:p w14:paraId="14845359">
      <w:pPr>
        <w:pStyle w:val="57"/>
        <w:ind w:firstLine="420"/>
      </w:pPr>
      <w:r>
        <w:rPr>
          <w:rFonts w:hint="eastAsia"/>
        </w:rPr>
        <w:t xml:space="preserve">本文件主要起草人：陈培育 田花丽 腊贵晓 强学兰 阴志刚 兰金旭 王艳敏 刘健 杨青 申坚定 曹双 </w:t>
      </w:r>
      <w:r>
        <w:rPr>
          <w:rFonts w:hint="eastAsia"/>
          <w:lang w:eastAsia="zh-CN"/>
        </w:rPr>
        <w:t>范长有</w:t>
      </w:r>
      <w:r>
        <w:rPr>
          <w:rFonts w:hint="eastAsia"/>
          <w:lang w:val="en-US" w:eastAsia="zh-CN"/>
        </w:rPr>
        <w:t xml:space="preserve"> 欧保红</w:t>
      </w:r>
      <w:r>
        <w:rPr>
          <w:rFonts w:hint="eastAsia"/>
        </w:rPr>
        <w:t xml:space="preserve"> 乔枫 黄冉涛 赵倩 杨荣 周晓静 顾征 源朝政</w:t>
      </w:r>
    </w:p>
    <w:p w14:paraId="336D20F1">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5"/>
    <w:p w14:paraId="26394856">
      <w:pPr>
        <w:spacing w:line="20" w:lineRule="exact"/>
        <w:jc w:val="center"/>
        <w:rPr>
          <w:rFonts w:ascii="黑体" w:hAnsi="黑体" w:eastAsia="黑体" w:cs="Times New Roman"/>
          <w:kern w:val="2"/>
          <w:sz w:val="32"/>
          <w:szCs w:val="32"/>
          <w:lang w:val="en-US" w:eastAsia="zh-CN" w:bidi="ar-SA"/>
        </w:rPr>
      </w:pPr>
      <w:bookmarkStart w:id="26" w:name="BookMark4"/>
    </w:p>
    <w:p w14:paraId="0F00A5F4">
      <w:pPr>
        <w:spacing w:line="20" w:lineRule="exact"/>
        <w:jc w:val="center"/>
        <w:rPr>
          <w:rFonts w:ascii="黑体" w:hAnsi="黑体" w:eastAsia="黑体" w:cs="Times New Roman"/>
          <w:kern w:val="2"/>
          <w:sz w:val="32"/>
          <w:szCs w:val="32"/>
          <w:lang w:val="en-US" w:eastAsia="zh-CN" w:bidi="ar-SA"/>
        </w:rPr>
      </w:pPr>
    </w:p>
    <w:sdt>
      <w:sdtPr>
        <w:rPr>
          <w:rFonts w:ascii="黑体" w:hAnsi="黑体" w:eastAsia="黑体" w:cs="Times New Roman"/>
          <w:kern w:val="2"/>
          <w:sz w:val="32"/>
          <w:szCs w:val="32"/>
          <w:lang w:val="en-US" w:eastAsia="zh-CN" w:bidi="ar-SA"/>
        </w:rPr>
        <w:tag w:val="NEW_STAND_NAME"/>
        <w:id w:val="595910757"/>
        <w:lock w:val="sdtLocked"/>
        <w:placeholder>
          <w:docPart w:val="D478F85D109E49718D4A13AA8DA9F120"/>
        </w:placeholder>
      </w:sdtPr>
      <w:sdtEndPr>
        <w:rPr>
          <w:rFonts w:ascii="黑体" w:hAnsi="黑体" w:eastAsia="黑体" w:cs="Times New Roman"/>
          <w:kern w:val="2"/>
          <w:sz w:val="32"/>
          <w:szCs w:val="32"/>
          <w:lang w:val="en-US" w:eastAsia="zh-CN" w:bidi="ar-SA"/>
        </w:rPr>
      </w:sdtEndPr>
      <w:sdtContent>
        <w:p w14:paraId="180D43C5">
          <w:pPr>
            <w:pStyle w:val="178"/>
            <w:spacing w:before="3" w:beforeLines="1" w:after="686" w:afterLines="220"/>
          </w:pPr>
          <w:bookmarkStart w:id="27" w:name="NEW_STAND_NAME"/>
          <w:r>
            <w:rPr>
              <w:rFonts w:hint="eastAsia" w:ascii="黑体" w:hAnsi="黑体" w:eastAsia="黑体" w:cs="Times New Roman"/>
              <w:kern w:val="2"/>
              <w:sz w:val="32"/>
              <w:szCs w:val="32"/>
              <w:lang w:val="en-US" w:eastAsia="zh-CN" w:bidi="ar-SA"/>
            </w:rPr>
            <w:t>夏枯草种植技术规程</w:t>
          </w:r>
        </w:p>
      </w:sdtContent>
    </w:sdt>
    <w:bookmarkEnd w:id="26"/>
    <w:p w14:paraId="52EF06B6">
      <w:pPr>
        <w:pStyle w:val="200"/>
        <w:rPr>
          <w:vanish w:val="0"/>
        </w:rPr>
      </w:pPr>
      <w:bookmarkStart w:id="28" w:name="BookMark5"/>
    </w:p>
    <w:bookmarkEnd w:id="27"/>
    <w:bookmarkEnd w:id="28"/>
    <w:p w14:paraId="76D618D3">
      <w:pPr>
        <w:pStyle w:val="105"/>
        <w:spacing w:before="312" w:after="312"/>
        <w:rPr>
          <w:rFonts w:hint="eastAsia"/>
        </w:rPr>
      </w:pPr>
      <w:bookmarkStart w:id="29" w:name="_Toc1032484462"/>
      <w:bookmarkStart w:id="30" w:name="_Toc192602864"/>
      <w:bookmarkStart w:id="31" w:name="_Toc11933"/>
      <w:bookmarkStart w:id="32" w:name="_Toc76111725"/>
      <w:bookmarkStart w:id="33" w:name="BookMark8"/>
      <w:r>
        <w:rPr>
          <w:rFonts w:hint="eastAsia"/>
        </w:rPr>
        <w:t>范围</w:t>
      </w:r>
      <w:bookmarkEnd w:id="29"/>
      <w:bookmarkEnd w:id="30"/>
      <w:bookmarkEnd w:id="31"/>
    </w:p>
    <w:p w14:paraId="7F38C8C7">
      <w:pPr>
        <w:pStyle w:val="232"/>
        <w:tabs>
          <w:tab w:val="center" w:pos="4201"/>
          <w:tab w:val="right" w:leader="dot" w:pos="9298"/>
        </w:tabs>
        <w:spacing w:before="156" w:after="156"/>
        <w:ind w:firstLine="420"/>
        <w:rPr>
          <w:rFonts w:hint="eastAsia" w:ascii="Times New Roman" w:hAnsi="Times New Roman" w:eastAsia="宋体"/>
        </w:rPr>
      </w:pPr>
      <w:r>
        <w:rPr>
          <w:rFonts w:hint="eastAsia" w:ascii="Times New Roman" w:hAnsi="Times New Roman" w:eastAsia="宋体"/>
        </w:rPr>
        <w:t>本文件规定了中药材夏枯草栽培技术的术语和定义、产地环境、选地、栽培技术、采收、储藏加工、质量要求。</w:t>
      </w:r>
    </w:p>
    <w:p w14:paraId="2E622871">
      <w:pPr>
        <w:pStyle w:val="232"/>
        <w:tabs>
          <w:tab w:val="center" w:pos="4201"/>
          <w:tab w:val="right" w:leader="dot" w:pos="9298"/>
        </w:tabs>
        <w:spacing w:before="156" w:after="156"/>
        <w:ind w:firstLine="420"/>
        <w:rPr>
          <w:rFonts w:hint="eastAsia" w:ascii="Times New Roman" w:hAnsi="Times New Roman" w:eastAsia="宋体"/>
        </w:rPr>
      </w:pPr>
      <w:r>
        <w:rPr>
          <w:rFonts w:hint="eastAsia" w:ascii="Times New Roman" w:hAnsi="Times New Roman" w:eastAsia="宋体"/>
        </w:rPr>
        <w:t>本文件适用于南阳地区夏枯草的种植。</w:t>
      </w:r>
    </w:p>
    <w:p w14:paraId="60858126">
      <w:pPr>
        <w:pStyle w:val="105"/>
        <w:spacing w:before="312" w:after="312"/>
        <w:rPr>
          <w:rFonts w:hint="eastAsia"/>
        </w:rPr>
      </w:pPr>
      <w:bookmarkStart w:id="34" w:name="_Toc192602865"/>
      <w:bookmarkStart w:id="35" w:name="_Toc943411045"/>
      <w:bookmarkStart w:id="36" w:name="_Toc21669"/>
      <w:r>
        <w:rPr>
          <w:rFonts w:hint="eastAsia"/>
        </w:rPr>
        <w:t>规范性引用文件</w:t>
      </w:r>
      <w:bookmarkEnd w:id="34"/>
      <w:bookmarkEnd w:id="35"/>
      <w:bookmarkEnd w:id="36"/>
    </w:p>
    <w:p w14:paraId="3B1050D5">
      <w:pPr>
        <w:pStyle w:val="57"/>
        <w:ind w:firstLine="420"/>
        <w:rPr>
          <w:rFonts w:hint="eastAsia" w:ascii="宋体" w:eastAsia="宋体"/>
        </w:rPr>
      </w:pPr>
      <w:r>
        <w:rPr>
          <w:rFonts w:hint="eastAsia" w:ascii="宋体" w:eastAsia="宋体"/>
        </w:rPr>
        <w:t>下列文件中的内容通过文中的规范性引用而构成本文件必不可少的条款。凡是注日期的引用文件，仅该日期对应的版木适用千木文件不注日期的引用文件，其蔽新版本（包括所有的修改单）适用千木文件。</w:t>
      </w:r>
    </w:p>
    <w:p w14:paraId="1416BD23">
      <w:pPr>
        <w:pStyle w:val="232"/>
        <w:tabs>
          <w:tab w:val="center" w:pos="4201"/>
          <w:tab w:val="right" w:leader="dot" w:pos="9298"/>
        </w:tabs>
        <w:rPr>
          <w:rFonts w:hint="eastAsia" w:hAnsi="宋体" w:cs="宋体"/>
          <w:szCs w:val="22"/>
        </w:rPr>
      </w:pPr>
      <w:r>
        <w:rPr>
          <w:rFonts w:hint="eastAsia" w:ascii="Times New Roman" w:hAnsi="Times New Roman"/>
          <w:lang w:val="en-US" w:eastAsia="zh-CN"/>
        </w:rPr>
        <w:t xml:space="preserve">GB </w:t>
      </w:r>
      <w:r>
        <w:rPr>
          <w:rFonts w:hint="eastAsia" w:ascii="Times New Roman"/>
          <w:lang w:val="en-US" w:eastAsia="zh-CN"/>
        </w:rPr>
        <w:t>3095</w:t>
      </w:r>
      <w:r>
        <w:rPr>
          <w:rFonts w:hint="eastAsia" w:hAnsi="宋体" w:cs="宋体"/>
          <w:szCs w:val="22"/>
        </w:rPr>
        <w:t xml:space="preserve">  </w:t>
      </w:r>
      <w:r>
        <w:rPr>
          <w:rFonts w:hint="eastAsia" w:ascii="Times New Roman" w:hAnsi="Times New Roman" w:eastAsia="宋体"/>
          <w:lang w:val="en-US" w:eastAsia="zh-CN"/>
        </w:rPr>
        <w:t>环境空气质量标准</w:t>
      </w:r>
    </w:p>
    <w:p w14:paraId="7C3F8AB0">
      <w:pPr>
        <w:pStyle w:val="232"/>
        <w:tabs>
          <w:tab w:val="center" w:pos="4201"/>
          <w:tab w:val="right" w:leader="dot" w:pos="9298"/>
        </w:tabs>
        <w:spacing w:before="156" w:after="156"/>
        <w:rPr>
          <w:rFonts w:hint="eastAsia" w:ascii="Times New Roman" w:hAnsi="Times New Roman" w:eastAsia="宋体"/>
          <w:lang w:val="en-US" w:eastAsia="zh-CN"/>
        </w:rPr>
      </w:pPr>
      <w:r>
        <w:rPr>
          <w:rFonts w:hint="eastAsia" w:ascii="Times New Roman" w:hAnsi="Times New Roman"/>
          <w:lang w:val="en-US" w:eastAsia="zh-CN"/>
        </w:rPr>
        <w:t xml:space="preserve">GB </w:t>
      </w:r>
      <w:r>
        <w:rPr>
          <w:rFonts w:hint="eastAsia" w:ascii="Times New Roman"/>
          <w:lang w:val="en-US" w:eastAsia="zh-CN"/>
        </w:rPr>
        <w:t>5084</w:t>
      </w:r>
      <w:r>
        <w:rPr>
          <w:rFonts w:hint="eastAsia" w:ascii="Times New Roman" w:hAnsi="Times New Roman"/>
          <w:lang w:val="en-US" w:eastAsia="zh-CN"/>
        </w:rPr>
        <w:t xml:space="preserve">  </w:t>
      </w:r>
      <w:r>
        <w:rPr>
          <w:rFonts w:hint="eastAsia" w:ascii="Times New Roman" w:hAnsi="Times New Roman" w:eastAsia="宋体"/>
          <w:lang w:val="en-US" w:eastAsia="zh-CN"/>
        </w:rPr>
        <w:t>农田灌溉水质标准</w:t>
      </w:r>
    </w:p>
    <w:p w14:paraId="44B84F66">
      <w:pPr>
        <w:pStyle w:val="232"/>
        <w:tabs>
          <w:tab w:val="center" w:pos="4201"/>
          <w:tab w:val="right" w:leader="dot" w:pos="9298"/>
        </w:tabs>
        <w:spacing w:before="156" w:after="156"/>
        <w:rPr>
          <w:rFonts w:ascii="Times New Roman" w:hAnsi="宋体"/>
        </w:rPr>
      </w:pPr>
      <w:r>
        <w:rPr>
          <w:rFonts w:ascii="Times New Roman" w:hAnsi="Times New Roman"/>
        </w:rPr>
        <w:t>GB/T 8321</w:t>
      </w:r>
      <w:r>
        <w:rPr>
          <w:rFonts w:ascii="Times New Roman" w:hAnsi="宋体"/>
        </w:rPr>
        <w:t>（所有部分）</w:t>
      </w:r>
      <w:r>
        <w:rPr>
          <w:rFonts w:ascii="Times New Roman" w:hAnsi="Times New Roman"/>
        </w:rPr>
        <w:t xml:space="preserve"> </w:t>
      </w:r>
      <w:r>
        <w:rPr>
          <w:rFonts w:ascii="Times New Roman" w:hAnsi="宋体"/>
        </w:rPr>
        <w:t>农药合理使用准则</w:t>
      </w:r>
    </w:p>
    <w:p w14:paraId="66558853">
      <w:pPr>
        <w:pStyle w:val="232"/>
        <w:tabs>
          <w:tab w:val="center" w:pos="4201"/>
          <w:tab w:val="right" w:leader="dot" w:pos="9298"/>
        </w:tabs>
        <w:spacing w:before="156" w:after="156"/>
        <w:rPr>
          <w:rFonts w:hint="default" w:ascii="Times New Roman" w:hAnsi="Times New Roman"/>
          <w:lang w:val="en-US" w:eastAsia="zh-CN"/>
        </w:rPr>
      </w:pPr>
      <w:r>
        <w:rPr>
          <w:rFonts w:hint="eastAsia" w:ascii="Times New Roman" w:hAnsi="Times New Roman"/>
          <w:lang w:val="en-US" w:eastAsia="zh-CN"/>
        </w:rPr>
        <w:t xml:space="preserve">NY/T </w:t>
      </w:r>
      <w:r>
        <w:rPr>
          <w:rFonts w:hint="eastAsia" w:ascii="Times New Roman"/>
          <w:lang w:val="en-US" w:eastAsia="zh-CN"/>
        </w:rPr>
        <w:t>391</w:t>
      </w:r>
      <w:r>
        <w:rPr>
          <w:rFonts w:hint="eastAsia" w:ascii="Times New Roman" w:hAnsi="Times New Roman"/>
          <w:lang w:val="en-US" w:eastAsia="zh-CN"/>
        </w:rPr>
        <w:t xml:space="preserve">   </w:t>
      </w:r>
      <w:r>
        <w:rPr>
          <w:rFonts w:hint="eastAsia" w:ascii="Times New Roman" w:hAnsi="Times New Roman" w:eastAsia="宋体"/>
          <w:lang w:val="en-US" w:eastAsia="zh-CN"/>
        </w:rPr>
        <w:t>绿色食品 产地环境质量</w:t>
      </w:r>
    </w:p>
    <w:p w14:paraId="0E3B9D6F">
      <w:pPr>
        <w:pStyle w:val="232"/>
        <w:tabs>
          <w:tab w:val="center" w:pos="4201"/>
          <w:tab w:val="right" w:leader="dot" w:pos="9298"/>
        </w:tabs>
        <w:spacing w:before="156" w:after="156"/>
        <w:rPr>
          <w:rFonts w:hint="eastAsia" w:ascii="Times New Roman" w:hAnsi="Times New Roman"/>
          <w:lang w:val="en-US" w:eastAsia="zh-CN"/>
        </w:rPr>
      </w:pPr>
      <w:r>
        <w:rPr>
          <w:rFonts w:hint="eastAsia" w:ascii="Times New Roman" w:hAnsi="Times New Roman"/>
          <w:lang w:val="en-US" w:eastAsia="zh-CN"/>
        </w:rPr>
        <w:t xml:space="preserve">NY/T 496 </w:t>
      </w:r>
      <w:r>
        <w:rPr>
          <w:rFonts w:hint="eastAsia" w:ascii="Times New Roman"/>
          <w:lang w:val="en-US" w:eastAsia="zh-CN"/>
        </w:rPr>
        <w:t xml:space="preserve">  </w:t>
      </w:r>
      <w:r>
        <w:rPr>
          <w:rFonts w:hint="eastAsia" w:ascii="Times New Roman" w:hAnsi="Times New Roman"/>
          <w:lang w:val="en-US" w:eastAsia="zh-CN"/>
        </w:rPr>
        <w:t>肥料合理使用准则</w:t>
      </w:r>
    </w:p>
    <w:p w14:paraId="18D1D6AB">
      <w:pPr>
        <w:pStyle w:val="232"/>
        <w:tabs>
          <w:tab w:val="center" w:pos="4201"/>
          <w:tab w:val="right" w:leader="dot" w:pos="9298"/>
        </w:tabs>
        <w:spacing w:before="156" w:after="156"/>
        <w:rPr>
          <w:rFonts w:hint="eastAsia" w:ascii="Times New Roman" w:hAnsi="Times New Roman" w:eastAsia="宋体"/>
          <w:lang w:val="en-US" w:eastAsia="zh-CN"/>
        </w:rPr>
      </w:pPr>
      <w:r>
        <w:rPr>
          <w:rFonts w:hint="eastAsia" w:ascii="Times New Roman" w:hAnsi="Times New Roman"/>
          <w:lang w:val="en-US" w:eastAsia="zh-CN"/>
        </w:rPr>
        <w:t xml:space="preserve">NY/T </w:t>
      </w:r>
      <w:r>
        <w:rPr>
          <w:rFonts w:hint="eastAsia" w:ascii="Times New Roman"/>
          <w:lang w:val="en-US" w:eastAsia="zh-CN"/>
        </w:rPr>
        <w:t xml:space="preserve">525   </w:t>
      </w:r>
      <w:r>
        <w:rPr>
          <w:rFonts w:hint="eastAsia" w:ascii="Times New Roman" w:hAnsi="Times New Roman" w:eastAsia="宋体"/>
          <w:lang w:val="en-US" w:eastAsia="zh-CN"/>
        </w:rPr>
        <w:t>有机肥料</w:t>
      </w:r>
    </w:p>
    <w:p w14:paraId="6E160727">
      <w:pPr>
        <w:pStyle w:val="232"/>
        <w:tabs>
          <w:tab w:val="center" w:pos="4201"/>
          <w:tab w:val="right" w:leader="dot" w:pos="9298"/>
        </w:tabs>
        <w:spacing w:before="156" w:after="156"/>
        <w:rPr>
          <w:rFonts w:hint="eastAsia" w:ascii="Times New Roman" w:hAnsi="Times New Roman"/>
          <w:lang w:val="en-US" w:eastAsia="zh-CN"/>
        </w:rPr>
      </w:pPr>
      <w:r>
        <w:rPr>
          <w:rFonts w:hint="eastAsia" w:ascii="Times New Roman"/>
          <w:lang w:val="en-US" w:eastAsia="zh-CN"/>
        </w:rPr>
        <w:t>《农药管理条例》</w:t>
      </w:r>
    </w:p>
    <w:p w14:paraId="4E349515">
      <w:pPr>
        <w:pStyle w:val="232"/>
        <w:tabs>
          <w:tab w:val="center" w:pos="4201"/>
          <w:tab w:val="right" w:leader="dot" w:pos="9298"/>
        </w:tabs>
        <w:ind w:firstLine="420"/>
        <w:rPr>
          <w:rFonts w:hint="eastAsia" w:ascii="Times New Roman" w:hAnsi="Times New Roman"/>
          <w:lang w:val="en-US" w:eastAsia="zh-CN"/>
        </w:rPr>
      </w:pPr>
      <w:r>
        <w:rPr>
          <w:rFonts w:hint="eastAsia" w:ascii="Times New Roman"/>
          <w:lang w:val="en-US" w:eastAsia="zh-CN"/>
        </w:rPr>
        <w:t xml:space="preserve">《中华人民共和国药典》.一部.2020   </w:t>
      </w:r>
    </w:p>
    <w:p w14:paraId="082AE42E">
      <w:pPr>
        <w:pStyle w:val="105"/>
        <w:spacing w:before="312" w:after="312"/>
        <w:rPr>
          <w:rFonts w:hint="eastAsia"/>
          <w:szCs w:val="21"/>
        </w:rPr>
      </w:pPr>
      <w:bookmarkStart w:id="37" w:name="_Toc18438"/>
      <w:bookmarkStart w:id="38" w:name="_Toc543005028"/>
      <w:bookmarkStart w:id="39" w:name="_Toc192602866"/>
      <w:r>
        <w:rPr>
          <w:rFonts w:hint="eastAsia"/>
          <w:szCs w:val="21"/>
        </w:rPr>
        <w:t>术语和定义</w:t>
      </w:r>
      <w:bookmarkEnd w:id="32"/>
      <w:bookmarkEnd w:id="37"/>
      <w:bookmarkEnd w:id="38"/>
      <w:bookmarkEnd w:id="39"/>
    </w:p>
    <w:sdt>
      <w:sdtPr>
        <w:rPr>
          <w:rFonts w:hint="eastAsia" w:hAnsi="宋体" w:cs="宋体"/>
          <w:szCs w:val="21"/>
        </w:rPr>
        <w:id w:val="-1909835108"/>
        <w:placeholder>
          <w:docPart w:val="{31140141-0fbd-4eab-ae06-9a5b0f6bf0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cs="宋体"/>
          <w:szCs w:val="21"/>
        </w:rPr>
      </w:sdtEndPr>
      <w:sdtContent>
        <w:p w14:paraId="582C3B9B">
          <w:pPr>
            <w:pStyle w:val="57"/>
            <w:ind w:firstLine="420"/>
            <w:rPr>
              <w:rFonts w:hAnsi="宋体" w:cs="宋体"/>
              <w:szCs w:val="21"/>
            </w:rPr>
          </w:pPr>
          <w:bookmarkStart w:id="40" w:name="_Toc26986532"/>
          <w:bookmarkEnd w:id="40"/>
          <w:r>
            <w:rPr>
              <w:rFonts w:hint="eastAsia" w:hAnsi="宋体" w:cs="宋体"/>
              <w:szCs w:val="21"/>
            </w:rPr>
            <w:t>下列术语和定义适用于本文件。</w:t>
          </w:r>
        </w:p>
      </w:sdtContent>
    </w:sdt>
    <w:p w14:paraId="0A2AA74E">
      <w:pPr>
        <w:pStyle w:val="106"/>
        <w:spacing w:before="156" w:after="156"/>
        <w:rPr>
          <w:i/>
          <w:iCs/>
        </w:rPr>
      </w:pPr>
      <w:bookmarkStart w:id="41" w:name="_Toc4487"/>
      <w:bookmarkStart w:id="42" w:name="_Toc26874"/>
      <w:bookmarkStart w:id="43" w:name="_Toc192602868"/>
      <w:bookmarkStart w:id="44" w:name="_Toc1520094147"/>
      <w:bookmarkStart w:id="45" w:name="_Toc76108368"/>
      <w:bookmarkStart w:id="46" w:name="_Toc76108442"/>
      <w:bookmarkStart w:id="47" w:name="_Toc76111726"/>
    </w:p>
    <w:p w14:paraId="76B711BB">
      <w:pPr>
        <w:pStyle w:val="106"/>
        <w:numPr>
          <w:ilvl w:val="2"/>
          <w:numId w:val="0"/>
        </w:numPr>
        <w:spacing w:before="156" w:after="156"/>
        <w:ind w:leftChars="0" w:firstLine="420" w:firstLineChars="200"/>
        <w:rPr>
          <w:i/>
          <w:iCs/>
        </w:rPr>
      </w:pPr>
      <w:r>
        <w:rPr>
          <w:rFonts w:hint="eastAsia"/>
        </w:rPr>
        <w:t>夏枯草</w:t>
      </w:r>
      <w:bookmarkEnd w:id="41"/>
      <w:bookmarkEnd w:id="42"/>
      <w:bookmarkEnd w:id="43"/>
      <w:bookmarkEnd w:id="44"/>
      <w:r>
        <w:rPr>
          <w:rFonts w:hint="eastAsia"/>
        </w:rPr>
        <w:t xml:space="preserve"> </w:t>
      </w:r>
    </w:p>
    <w:p w14:paraId="5B153D74">
      <w:pPr>
        <w:pStyle w:val="14"/>
        <w:kinsoku w:val="0"/>
        <w:overflowPunct w:val="0"/>
        <w:spacing w:line="292" w:lineRule="auto"/>
        <w:ind w:right="971" w:firstLine="420" w:firstLineChars="200"/>
        <w:rPr>
          <w:rFonts w:ascii="宋体" w:hAnsi="宋体" w:cs="宋体"/>
        </w:rPr>
      </w:pPr>
      <w:r>
        <w:rPr>
          <w:rFonts w:hint="eastAsia" w:ascii="宋体" w:hAnsi="宋体" w:cs="宋体"/>
        </w:rPr>
        <w:t>唇形科多年生草本植物夏枯草（</w:t>
      </w:r>
      <w:r>
        <w:rPr>
          <w:rFonts w:ascii="Times New Roman" w:hAnsi="Times New Roman"/>
          <w:i/>
          <w:iCs/>
        </w:rPr>
        <w:t xml:space="preserve">Prunella vulgaris </w:t>
      </w:r>
      <w:r>
        <w:rPr>
          <w:rFonts w:ascii="Times New Roman" w:hAnsi="Times New Roman"/>
        </w:rPr>
        <w:t>L.</w:t>
      </w:r>
      <w:r>
        <w:rPr>
          <w:rFonts w:hint="eastAsia" w:ascii="宋体" w:hAnsi="宋体" w:cs="宋体"/>
        </w:rPr>
        <w:t>），别名夏枯头、麦夏枯等，其干燥果穗入药。</w:t>
      </w:r>
    </w:p>
    <w:p w14:paraId="3535B9FF">
      <w:pPr>
        <w:pStyle w:val="105"/>
        <w:spacing w:before="312" w:after="312"/>
        <w:rPr>
          <w:rFonts w:hint="eastAsia"/>
          <w:lang w:val="en-US" w:eastAsia="zh-CN"/>
        </w:rPr>
      </w:pPr>
      <w:bookmarkStart w:id="48" w:name="_Toc75539979"/>
      <w:bookmarkStart w:id="49" w:name="_Toc192602869"/>
      <w:bookmarkStart w:id="50" w:name="_Toc30492"/>
      <w:r>
        <w:rPr>
          <w:rFonts w:hint="eastAsia"/>
          <w:lang w:val="en-US" w:eastAsia="zh-CN"/>
        </w:rPr>
        <w:t>产地环境</w:t>
      </w:r>
      <w:bookmarkEnd w:id="45"/>
      <w:bookmarkEnd w:id="46"/>
      <w:bookmarkEnd w:id="47"/>
      <w:bookmarkEnd w:id="48"/>
      <w:bookmarkEnd w:id="49"/>
      <w:bookmarkEnd w:id="50"/>
    </w:p>
    <w:p w14:paraId="6B0FC7DE">
      <w:pPr>
        <w:pStyle w:val="14"/>
        <w:kinsoku w:val="0"/>
        <w:overflowPunct w:val="0"/>
        <w:spacing w:line="292" w:lineRule="auto"/>
        <w:ind w:left="237" w:right="971" w:firstLine="421"/>
        <w:rPr>
          <w:rFonts w:hint="eastAsia" w:ascii="Times New Roman" w:hAnsi="宋体" w:eastAsia="宋体" w:cs="Times New Roman"/>
          <w:kern w:val="2"/>
          <w:sz w:val="21"/>
          <w:szCs w:val="21"/>
          <w:lang w:val="en-US" w:eastAsia="zh-CN" w:bidi="ar-SA"/>
        </w:rPr>
      </w:pPr>
      <w:bookmarkStart w:id="51" w:name="_Toc101955383"/>
      <w:bookmarkStart w:id="52" w:name="_Toc103673134"/>
      <w:bookmarkStart w:id="53" w:name="_Toc76108369"/>
      <w:bookmarkStart w:id="54" w:name="_Toc101955297"/>
      <w:bookmarkStart w:id="55" w:name="_Toc101955319"/>
      <w:bookmarkStart w:id="56" w:name="_Toc101955253"/>
      <w:bookmarkStart w:id="57" w:name="_Toc101955786"/>
      <w:bookmarkStart w:id="58" w:name="_Toc76108443"/>
      <w:bookmarkStart w:id="59" w:name="_Toc103673123"/>
      <w:bookmarkStart w:id="60" w:name="_Toc103673178"/>
      <w:bookmarkStart w:id="61" w:name="_Toc76111727"/>
      <w:bookmarkStart w:id="62" w:name="_Toc571306264"/>
      <w:bookmarkStart w:id="63" w:name="_Toc103673156"/>
      <w:r>
        <w:rPr>
          <w:rFonts w:hint="eastAsia" w:ascii="Times New Roman" w:hAnsi="宋体" w:eastAsia="宋体" w:cs="Times New Roman"/>
          <w:kern w:val="2"/>
          <w:sz w:val="21"/>
          <w:szCs w:val="21"/>
          <w:lang w:val="en-US" w:eastAsia="zh-CN" w:bidi="ar-SA"/>
        </w:rPr>
        <w:t>环境空气质量符合GB 3095的二级标准，土壤环境质量应符合NY/T 391的旱地土壤质量要求，灌溉水符合GB 5084的旱作标准。</w:t>
      </w:r>
    </w:p>
    <w:bookmarkEnd w:id="51"/>
    <w:bookmarkEnd w:id="52"/>
    <w:bookmarkEnd w:id="53"/>
    <w:bookmarkEnd w:id="54"/>
    <w:bookmarkEnd w:id="55"/>
    <w:bookmarkEnd w:id="56"/>
    <w:bookmarkEnd w:id="57"/>
    <w:bookmarkEnd w:id="58"/>
    <w:bookmarkEnd w:id="59"/>
    <w:bookmarkEnd w:id="60"/>
    <w:bookmarkEnd w:id="61"/>
    <w:bookmarkEnd w:id="62"/>
    <w:bookmarkEnd w:id="63"/>
    <w:p w14:paraId="4316C2C5">
      <w:pPr>
        <w:pStyle w:val="105"/>
        <w:spacing w:before="312" w:after="312"/>
        <w:rPr>
          <w:rFonts w:hint="eastAsia"/>
        </w:rPr>
      </w:pPr>
      <w:bookmarkStart w:id="64" w:name="_Toc192602870"/>
      <w:bookmarkStart w:id="65" w:name="_Toc192892661"/>
      <w:bookmarkStart w:id="66" w:name="_Toc15922"/>
      <w:bookmarkStart w:id="67" w:name="_Toc103673157"/>
      <w:bookmarkStart w:id="68" w:name="_Toc103673179"/>
      <w:bookmarkStart w:id="69" w:name="_Toc103673135"/>
      <w:r>
        <w:rPr>
          <w:rFonts w:hint="eastAsia"/>
        </w:rPr>
        <w:t>种植技术</w:t>
      </w:r>
      <w:bookmarkEnd w:id="64"/>
      <w:bookmarkEnd w:id="65"/>
      <w:bookmarkEnd w:id="66"/>
    </w:p>
    <w:bookmarkEnd w:id="67"/>
    <w:bookmarkEnd w:id="68"/>
    <w:bookmarkEnd w:id="69"/>
    <w:p w14:paraId="4ABFE0A6">
      <w:pPr>
        <w:pStyle w:val="106"/>
        <w:spacing w:before="156" w:after="156"/>
        <w:rPr>
          <w:rFonts w:hint="eastAsia"/>
          <w:lang w:val="en-US" w:eastAsia="zh-CN"/>
        </w:rPr>
      </w:pPr>
      <w:bookmarkStart w:id="70" w:name="_Toc5163"/>
      <w:bookmarkStart w:id="71" w:name="_Toc192602871"/>
      <w:r>
        <w:rPr>
          <w:rFonts w:hint="eastAsia"/>
          <w:lang w:val="en-US" w:eastAsia="zh-CN"/>
        </w:rPr>
        <w:t>选地</w:t>
      </w:r>
      <w:bookmarkEnd w:id="70"/>
      <w:bookmarkEnd w:id="71"/>
    </w:p>
    <w:p w14:paraId="068F21FD">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阳光充足，排水良好的旱坡地、山脚、林边草地、路旁、田野均可种植，海拔700 m以下的平地或低山丘陵地区种植生长良好，低凹易涝地不宜栽培，忌连作。</w:t>
      </w:r>
    </w:p>
    <w:p w14:paraId="7FA13DB1">
      <w:pPr>
        <w:pStyle w:val="106"/>
        <w:spacing w:before="156" w:after="156"/>
        <w:rPr>
          <w:rFonts w:hint="eastAsia"/>
          <w:lang w:val="en-US" w:eastAsia="zh-CN"/>
        </w:rPr>
      </w:pPr>
      <w:bookmarkStart w:id="72" w:name="_Toc192602872"/>
      <w:bookmarkStart w:id="73" w:name="_Toc20863"/>
      <w:r>
        <w:rPr>
          <w:rFonts w:hint="eastAsia"/>
          <w:lang w:val="en-US" w:eastAsia="zh-CN"/>
        </w:rPr>
        <w:t>整地</w:t>
      </w:r>
      <w:bookmarkEnd w:id="72"/>
      <w:bookmarkEnd w:id="73"/>
    </w:p>
    <w:p w14:paraId="3E65AFB9">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在选好的地块，施经充分腐熟的农家肥1500 kg～2000 kg/667m</w:t>
      </w:r>
      <w:r>
        <w:rPr>
          <w:rFonts w:hint="eastAsia" w:ascii="Times New Roman" w:hAnsi="宋体" w:eastAsia="宋体" w:cs="Times New Roman"/>
          <w:sz w:val="21"/>
          <w:vertAlign w:val="superscript"/>
          <w:lang w:val="en-US" w:eastAsia="zh-CN" w:bidi="ar-SA"/>
        </w:rPr>
        <w:t>2</w:t>
      </w:r>
      <w:r>
        <w:rPr>
          <w:rFonts w:hint="eastAsia" w:ascii="Times New Roman" w:hAnsi="宋体" w:eastAsia="宋体" w:cs="Times New Roman"/>
          <w:sz w:val="21"/>
          <w:lang w:val="en-US" w:eastAsia="zh-CN" w:bidi="ar-SA"/>
        </w:rPr>
        <w:t xml:space="preserve"> ，或复合肥料（N : P</w:t>
      </w:r>
      <w:r>
        <w:rPr>
          <w:rFonts w:hint="eastAsia" w:ascii="Times New Roman" w:hAnsi="宋体" w:eastAsia="宋体" w:cs="Times New Roman"/>
          <w:sz w:val="21"/>
          <w:vertAlign w:val="subscript"/>
          <w:lang w:val="en-US" w:eastAsia="zh-CN" w:bidi="ar-SA"/>
        </w:rPr>
        <w:t>2</w:t>
      </w:r>
      <w:r>
        <w:rPr>
          <w:rFonts w:hint="eastAsia" w:ascii="Times New Roman" w:hAnsi="宋体" w:eastAsia="宋体" w:cs="Times New Roman"/>
          <w:sz w:val="21"/>
          <w:lang w:val="en-US" w:eastAsia="zh-CN" w:bidi="ar-SA"/>
        </w:rPr>
        <w:t>O</w:t>
      </w:r>
      <w:r>
        <w:rPr>
          <w:rFonts w:hint="eastAsia" w:ascii="Times New Roman" w:hAnsi="宋体" w:eastAsia="宋体" w:cs="Times New Roman"/>
          <w:sz w:val="21"/>
          <w:vertAlign w:val="subscript"/>
          <w:lang w:val="en-US" w:eastAsia="zh-CN" w:bidi="ar-SA"/>
        </w:rPr>
        <w:t>5</w:t>
      </w:r>
      <w:r>
        <w:rPr>
          <w:rFonts w:hint="eastAsia" w:ascii="Times New Roman" w:hAnsi="宋体" w:eastAsia="宋体" w:cs="Times New Roman"/>
          <w:sz w:val="21"/>
          <w:lang w:val="en-US" w:eastAsia="zh-CN" w:bidi="ar-SA"/>
        </w:rPr>
        <w:t xml:space="preserve"> : K</w:t>
      </w:r>
      <w:r>
        <w:rPr>
          <w:rFonts w:hint="eastAsia" w:ascii="Times New Roman" w:hAnsi="宋体" w:eastAsia="宋体" w:cs="Times New Roman"/>
          <w:sz w:val="21"/>
          <w:vertAlign w:val="subscript"/>
          <w:lang w:val="en-US" w:eastAsia="zh-CN" w:bidi="ar-SA"/>
        </w:rPr>
        <w:t>2</w:t>
      </w:r>
      <w:r>
        <w:rPr>
          <w:rFonts w:hint="eastAsia" w:ascii="Times New Roman" w:hAnsi="宋体" w:eastAsia="宋体" w:cs="Times New Roman"/>
          <w:sz w:val="21"/>
          <w:lang w:val="en-US" w:eastAsia="zh-CN" w:bidi="ar-SA"/>
        </w:rPr>
        <w:t>O=15 : 15 : 15）50 kg做底肥，肥料应符合NY/T496的规定。做宽1.2 m、高0.2 m的畦，沟宽0.25 m。在地块周围开好排水沟。</w:t>
      </w:r>
    </w:p>
    <w:p w14:paraId="793EC9A8">
      <w:pPr>
        <w:pStyle w:val="106"/>
        <w:spacing w:before="156" w:after="156"/>
        <w:rPr>
          <w:rFonts w:hint="eastAsia"/>
          <w:lang w:val="en-US" w:eastAsia="zh-CN"/>
        </w:rPr>
      </w:pPr>
      <w:bookmarkStart w:id="74" w:name="_Toc22780"/>
      <w:bookmarkStart w:id="75" w:name="_Toc192602873"/>
      <w:r>
        <w:rPr>
          <w:rFonts w:hint="eastAsia"/>
          <w:lang w:val="en-US" w:eastAsia="zh-CN"/>
        </w:rPr>
        <w:t>选种</w:t>
      </w:r>
      <w:bookmarkEnd w:id="74"/>
      <w:bookmarkEnd w:id="75"/>
    </w:p>
    <w:p w14:paraId="41D255E3">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选取当年采收的色泽好，颗粒饱满的种子，要求千粒重≥0.65kg，净度≥90%，发芽率≥80%。</w:t>
      </w:r>
    </w:p>
    <w:p w14:paraId="569FC2D6">
      <w:pPr>
        <w:pStyle w:val="106"/>
        <w:spacing w:before="156" w:after="156"/>
        <w:rPr>
          <w:rFonts w:hint="eastAsia"/>
          <w:lang w:val="en-US" w:eastAsia="zh-CN"/>
        </w:rPr>
      </w:pPr>
      <w:bookmarkStart w:id="76" w:name="_Toc192602874"/>
      <w:bookmarkStart w:id="77" w:name="_Toc19598"/>
      <w:r>
        <w:rPr>
          <w:rFonts w:hint="eastAsia"/>
          <w:lang w:val="en-US" w:eastAsia="zh-CN"/>
        </w:rPr>
        <w:t>种植方式</w:t>
      </w:r>
      <w:bookmarkEnd w:id="76"/>
      <w:bookmarkEnd w:id="77"/>
    </w:p>
    <w:p w14:paraId="758718C4">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夏枯草的种植方式分为育苗移栽、直播和分株繁殖。</w:t>
      </w:r>
    </w:p>
    <w:p w14:paraId="7E0F5E57">
      <w:pPr>
        <w:pStyle w:val="66"/>
        <w:spacing w:before="156" w:after="156"/>
        <w:rPr>
          <w:rFonts w:hint="eastAsia"/>
          <w:lang w:val="en-US" w:eastAsia="zh-CN"/>
        </w:rPr>
      </w:pPr>
      <w:r>
        <w:rPr>
          <w:rFonts w:hint="eastAsia"/>
          <w:lang w:val="en-US" w:eastAsia="zh-CN"/>
        </w:rPr>
        <w:t>育苗移栽</w:t>
      </w:r>
    </w:p>
    <w:p w14:paraId="1745DD7A">
      <w:pPr>
        <w:pStyle w:val="95"/>
        <w:bidi w:val="0"/>
        <w:rPr>
          <w:rFonts w:hint="eastAsia" w:hAnsi="Times New Roman" w:cs="Times New Roman"/>
          <w:lang w:val="en-US" w:eastAsia="zh-CN"/>
        </w:rPr>
      </w:pPr>
      <w:r>
        <w:rPr>
          <w:rFonts w:hint="eastAsia" w:hAnsi="Times New Roman" w:cs="Times New Roman"/>
          <w:lang w:val="en-US" w:eastAsia="zh-CN"/>
        </w:rPr>
        <w:t>育苗</w:t>
      </w:r>
    </w:p>
    <w:p w14:paraId="3BC66714">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8月～9月中下旬，将基质腐殖土与沙子按照2:1比例装入培养钵内，每孔播种4粒～5粒种子，覆土后及时浇水，盖草保温保湿。</w:t>
      </w:r>
    </w:p>
    <w:p w14:paraId="2971202B">
      <w:pPr>
        <w:pStyle w:val="95"/>
        <w:bidi w:val="0"/>
        <w:rPr>
          <w:rFonts w:hint="eastAsia" w:hAnsi="Times New Roman" w:cs="Times New Roman"/>
          <w:lang w:val="en-US" w:eastAsia="zh-CN"/>
        </w:rPr>
      </w:pPr>
      <w:r>
        <w:rPr>
          <w:rFonts w:hint="eastAsia" w:hAnsi="Times New Roman" w:cs="Times New Roman"/>
          <w:lang w:val="en-US" w:eastAsia="zh-CN"/>
        </w:rPr>
        <w:t>起苗</w:t>
      </w:r>
    </w:p>
    <w:p w14:paraId="723D1A62">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选取株高6 cm以上、6～8片叶的粗壮、无病虫害的苗移栽。起苗时，用铁锹带土铲起（约5 cm），尽量保持根系完好。要求随起、随运、随栽。</w:t>
      </w:r>
    </w:p>
    <w:p w14:paraId="6208FAEB">
      <w:pPr>
        <w:pStyle w:val="95"/>
        <w:bidi w:val="0"/>
        <w:rPr>
          <w:rFonts w:hint="eastAsia" w:hAnsi="Times New Roman" w:cs="Times New Roman"/>
          <w:lang w:val="en-US" w:eastAsia="zh-CN"/>
        </w:rPr>
      </w:pPr>
      <w:r>
        <w:rPr>
          <w:rFonts w:hint="eastAsia" w:hAnsi="Times New Roman" w:cs="Times New Roman"/>
          <w:lang w:val="en-US" w:eastAsia="zh-CN"/>
        </w:rPr>
        <w:t>移栽</w:t>
      </w:r>
    </w:p>
    <w:p w14:paraId="12073C84">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 xml:space="preserve">11月至翌年2月份，选阴雨天，将幼苗按照株行距25 cm </w:t>
      </w:r>
      <w:r>
        <w:rPr>
          <w:rFonts w:hint="default" w:ascii="Arial" w:hAnsi="Arial" w:eastAsia="宋体" w:cs="Arial"/>
          <w:sz w:val="21"/>
          <w:lang w:val="en-US" w:eastAsia="zh-CN" w:bidi="ar-SA"/>
        </w:rPr>
        <w:t>×</w:t>
      </w:r>
      <w:r>
        <w:rPr>
          <w:rFonts w:hint="eastAsia" w:ascii="Times New Roman" w:hAnsi="宋体" w:eastAsia="宋体" w:cs="Times New Roman"/>
          <w:sz w:val="21"/>
          <w:lang w:val="en-US" w:eastAsia="zh-CN" w:bidi="ar-SA"/>
        </w:rPr>
        <w:t xml:space="preserve"> 20 cm移栽（开沟摆苗或是挖穴栽苗），密度约13000株/667 m</w:t>
      </w:r>
      <w:r>
        <w:rPr>
          <w:rFonts w:hint="eastAsia" w:ascii="Times New Roman" w:hAnsi="宋体" w:eastAsia="宋体" w:cs="Times New Roman"/>
          <w:sz w:val="21"/>
          <w:vertAlign w:val="superscript"/>
          <w:lang w:val="en-US" w:eastAsia="zh-CN" w:bidi="ar-SA"/>
        </w:rPr>
        <w:t>2</w:t>
      </w:r>
      <w:r>
        <w:rPr>
          <w:rFonts w:hint="eastAsia" w:ascii="Times New Roman" w:hAnsi="宋体" w:eastAsia="宋体" w:cs="Times New Roman"/>
          <w:sz w:val="21"/>
          <w:lang w:val="en-US" w:eastAsia="zh-CN" w:bidi="ar-SA"/>
        </w:rPr>
        <w:t xml:space="preserve"> 。定植后压实土壤，浇足定根水。</w:t>
      </w:r>
    </w:p>
    <w:p w14:paraId="12480FA7">
      <w:pPr>
        <w:pStyle w:val="66"/>
        <w:spacing w:before="156" w:after="156"/>
        <w:rPr>
          <w:rFonts w:hint="eastAsia"/>
          <w:lang w:val="en-US" w:eastAsia="zh-CN"/>
        </w:rPr>
      </w:pPr>
      <w:r>
        <w:rPr>
          <w:rFonts w:hint="eastAsia"/>
          <w:lang w:val="en-US" w:eastAsia="zh-CN"/>
        </w:rPr>
        <w:t xml:space="preserve"> 直播</w:t>
      </w:r>
    </w:p>
    <w:p w14:paraId="2151ADD2">
      <w:pPr>
        <w:pStyle w:val="95"/>
        <w:bidi w:val="0"/>
        <w:rPr>
          <w:rFonts w:hint="eastAsia"/>
          <w:lang w:val="en-US" w:eastAsia="zh-CN"/>
        </w:rPr>
      </w:pPr>
      <w:r>
        <w:rPr>
          <w:rFonts w:hint="eastAsia"/>
          <w:lang w:val="en-US" w:eastAsia="zh-CN"/>
        </w:rPr>
        <w:t>撒播</w:t>
      </w:r>
    </w:p>
    <w:p w14:paraId="057C73B6">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秋播时间为8月下旬至9月中下旬；春播时间为3月中旬至4月上中旬。在疏松且无杂草的空地上，将沙子与种子按体积比1:1混合均匀撒于畦内，撒细土覆盖，以不见种子为度。用种量1.5kg～2kg/667m</w:t>
      </w:r>
      <w:r>
        <w:rPr>
          <w:rFonts w:hint="eastAsia" w:ascii="Times New Roman" w:hAnsi="宋体" w:eastAsia="宋体" w:cs="Times New Roman"/>
          <w:sz w:val="21"/>
          <w:vertAlign w:val="superscript"/>
          <w:lang w:val="en-US" w:eastAsia="zh-CN" w:bidi="ar-SA"/>
        </w:rPr>
        <w:t>2</w:t>
      </w:r>
      <w:r>
        <w:rPr>
          <w:rFonts w:hint="eastAsia" w:ascii="Times New Roman" w:hAnsi="宋体" w:eastAsia="宋体" w:cs="Times New Roman"/>
          <w:sz w:val="21"/>
          <w:lang w:val="en-US" w:eastAsia="zh-CN" w:bidi="ar-SA"/>
        </w:rPr>
        <w:t xml:space="preserve"> 。播种前应浇水，播后稍微镇压。</w:t>
      </w:r>
    </w:p>
    <w:p w14:paraId="3BC470E3">
      <w:pPr>
        <w:pStyle w:val="95"/>
        <w:bidi w:val="0"/>
        <w:rPr>
          <w:rFonts w:hint="eastAsia" w:hAnsi="Times New Roman" w:cs="Times New Roman"/>
          <w:lang w:val="en-US" w:eastAsia="zh-CN"/>
        </w:rPr>
      </w:pPr>
      <w:r>
        <w:rPr>
          <w:rFonts w:hint="eastAsia" w:hAnsi="Times New Roman" w:cs="Times New Roman"/>
          <w:lang w:val="en-US" w:eastAsia="zh-CN"/>
        </w:rPr>
        <w:t>条播</w:t>
      </w:r>
    </w:p>
    <w:p w14:paraId="54720144">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在整好的畦面上开沟，行距25 cm，沟深2 cm～3 cm，种子均匀撒入沟内，覆土0.6cm～1.0cm，以不见种子为度，用种量0.5 kg～1 kg/667m</w:t>
      </w:r>
      <w:r>
        <w:rPr>
          <w:rFonts w:hint="eastAsia" w:ascii="Times New Roman" w:hAnsi="宋体" w:eastAsia="宋体" w:cs="Times New Roman"/>
          <w:sz w:val="21"/>
          <w:vertAlign w:val="superscript"/>
          <w:lang w:val="en-US" w:eastAsia="zh-CN" w:bidi="ar-SA"/>
        </w:rPr>
        <w:t>2</w:t>
      </w:r>
      <w:r>
        <w:rPr>
          <w:rFonts w:hint="eastAsia" w:ascii="Times New Roman" w:hAnsi="宋体" w:eastAsia="宋体" w:cs="Times New Roman"/>
          <w:sz w:val="21"/>
          <w:lang w:val="en-US" w:eastAsia="zh-CN" w:bidi="ar-SA"/>
        </w:rPr>
        <w:t xml:space="preserve"> 。若遇干旱天气，播种前应浇水，播后稍微镇压。</w:t>
      </w:r>
    </w:p>
    <w:p w14:paraId="122B59F5">
      <w:pPr>
        <w:pStyle w:val="95"/>
        <w:bidi w:val="0"/>
        <w:rPr>
          <w:rFonts w:hint="eastAsia" w:hAnsi="Times New Roman" w:cs="Times New Roman"/>
          <w:lang w:val="en-US" w:eastAsia="zh-CN"/>
        </w:rPr>
      </w:pPr>
      <w:r>
        <w:rPr>
          <w:rFonts w:hint="eastAsia" w:hAnsi="Times New Roman" w:cs="Times New Roman"/>
          <w:lang w:val="en-US" w:eastAsia="zh-CN"/>
        </w:rPr>
        <w:t>穴播</w:t>
      </w:r>
    </w:p>
    <w:p w14:paraId="4F306C13">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穴播按行株距各25 cm挖穴，沟深2 cm～3 cm，每穴8～10粒种子，覆土 0.6 cm～1.0 cm，穴播每 667 m</w:t>
      </w:r>
      <w:r>
        <w:rPr>
          <w:rFonts w:hint="eastAsia" w:ascii="Times New Roman" w:hAnsi="宋体" w:eastAsia="宋体" w:cs="Times New Roman"/>
          <w:sz w:val="21"/>
          <w:vertAlign w:val="superscript"/>
          <w:lang w:val="en-US" w:eastAsia="zh-CN" w:bidi="ar-SA"/>
        </w:rPr>
        <w:t>2</w:t>
      </w:r>
      <w:r>
        <w:rPr>
          <w:rFonts w:hint="eastAsia" w:ascii="Times New Roman" w:hAnsi="宋体" w:eastAsia="宋体" w:cs="Times New Roman"/>
          <w:sz w:val="21"/>
          <w:lang w:val="en-US" w:eastAsia="zh-CN" w:bidi="ar-SA"/>
        </w:rPr>
        <w:t xml:space="preserve"> 用种子 0.3 kg。播种前应浇水，播后稍微镇压，及时盖草或覆盖地膜，苗出齐后除去盖草或地膜。</w:t>
      </w:r>
    </w:p>
    <w:p w14:paraId="21087186">
      <w:pPr>
        <w:pStyle w:val="66"/>
        <w:spacing w:before="156" w:after="156"/>
        <w:rPr>
          <w:rFonts w:hint="eastAsia" w:hAnsi="Times New Roman" w:cs="Times New Roman"/>
          <w:lang w:val="en-US" w:eastAsia="zh-CN"/>
        </w:rPr>
      </w:pPr>
      <w:r>
        <w:rPr>
          <w:rFonts w:hint="eastAsia" w:hAnsi="Times New Roman" w:cs="Times New Roman"/>
          <w:lang w:val="en-US" w:eastAsia="zh-CN"/>
        </w:rPr>
        <w:t>分株繁殖</w:t>
      </w:r>
    </w:p>
    <w:p w14:paraId="44C66C30">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春季老根发芽后，将根挖出分开，每个根带1～2 个幼芽，按行株距各25 cm，随挖随栽，栽后浇水。</w:t>
      </w:r>
    </w:p>
    <w:p w14:paraId="28A11AFB">
      <w:pPr>
        <w:pStyle w:val="106"/>
        <w:spacing w:before="156" w:after="156"/>
        <w:rPr>
          <w:rFonts w:hint="eastAsia"/>
          <w:lang w:val="en-US" w:eastAsia="zh-CN"/>
        </w:rPr>
      </w:pPr>
      <w:bookmarkStart w:id="78" w:name="_Toc14954"/>
      <w:bookmarkStart w:id="79" w:name="_Toc192602875"/>
      <w:r>
        <w:rPr>
          <w:rFonts w:hint="eastAsia"/>
          <w:lang w:val="en-US" w:eastAsia="zh-CN"/>
        </w:rPr>
        <w:t>田间管理</w:t>
      </w:r>
      <w:bookmarkEnd w:id="78"/>
      <w:bookmarkEnd w:id="79"/>
    </w:p>
    <w:p w14:paraId="67AD043E">
      <w:pPr>
        <w:pStyle w:val="66"/>
        <w:spacing w:before="156" w:after="156"/>
        <w:rPr>
          <w:rFonts w:hint="eastAsia"/>
          <w:lang w:val="en-US" w:eastAsia="zh-CN"/>
        </w:rPr>
      </w:pPr>
      <w:r>
        <w:rPr>
          <w:rFonts w:hint="eastAsia"/>
          <w:lang w:val="en-US" w:eastAsia="zh-CN"/>
        </w:rPr>
        <w:t>间苗定苗</w:t>
      </w:r>
    </w:p>
    <w:p w14:paraId="34034781">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在苗高5 cm左右时，去弱苗留强苗；苗高8 cm～10 cm时，按苗距20 cm～25 cm定苗,每亩控制苗数在1.3万～1.5万株。</w:t>
      </w:r>
    </w:p>
    <w:p w14:paraId="01F821C5">
      <w:pPr>
        <w:pStyle w:val="66"/>
        <w:spacing w:before="156" w:after="156"/>
        <w:rPr>
          <w:rFonts w:hint="eastAsia"/>
          <w:lang w:val="en-US" w:eastAsia="zh-CN"/>
        </w:rPr>
      </w:pPr>
      <w:r>
        <w:rPr>
          <w:rFonts w:hint="eastAsia"/>
          <w:lang w:val="en-US" w:eastAsia="zh-CN"/>
        </w:rPr>
        <w:t>中耕除草</w:t>
      </w:r>
    </w:p>
    <w:p w14:paraId="142A1391">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秋播夏枯草除草2次，第一次在年前12月中下旬至1月中上旬；第二次在2月中下旬至3月中上旬。后期夏枯草封行后，发现杂草及时拔除。春播夏枯草除草3次，第1次在苗高5 cm～7 cm 时，进行浅松土和拔除杂草。苗高 15 cm～20 cm 时，进行第 2 次除草；夏枯草收割后，老蔸留在地里又可再发，在收割后立即中耕除草1次。禁止化学除草剂。</w:t>
      </w:r>
    </w:p>
    <w:p w14:paraId="078E59CB">
      <w:pPr>
        <w:pStyle w:val="66"/>
        <w:spacing w:before="156" w:after="156"/>
        <w:rPr>
          <w:rFonts w:hint="eastAsia"/>
          <w:lang w:val="en-US" w:eastAsia="zh-CN"/>
        </w:rPr>
      </w:pPr>
      <w:r>
        <w:rPr>
          <w:rFonts w:hint="eastAsia"/>
          <w:lang w:val="en-US" w:eastAsia="zh-CN"/>
        </w:rPr>
        <w:t>追肥</w:t>
      </w:r>
    </w:p>
    <w:p w14:paraId="71CF51BF">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4月进入花前期，每667㎡撒施氮磷钾复合肥15～20kg。5月中上旬进入盛花期，叶面喷施500～800倍的磷酸二氢钾，7 d～10 d喷一次，连续喷2～3次。</w:t>
      </w:r>
    </w:p>
    <w:p w14:paraId="06F82D24">
      <w:pPr>
        <w:pStyle w:val="66"/>
        <w:spacing w:before="156" w:after="156"/>
        <w:rPr>
          <w:rFonts w:hint="eastAsia"/>
          <w:lang w:val="en-US" w:eastAsia="zh-CN"/>
        </w:rPr>
      </w:pPr>
      <w:r>
        <w:rPr>
          <w:rFonts w:hint="eastAsia"/>
          <w:lang w:val="en-US" w:eastAsia="zh-CN"/>
        </w:rPr>
        <w:t>灌溉排涝</w:t>
      </w:r>
    </w:p>
    <w:p w14:paraId="2F505FD4">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幼苗期浇水保湿，雨季及时清沟排渍。</w:t>
      </w:r>
    </w:p>
    <w:p w14:paraId="6049343B">
      <w:pPr>
        <w:pStyle w:val="105"/>
        <w:spacing w:before="312" w:after="312"/>
        <w:rPr>
          <w:rFonts w:hint="eastAsia"/>
        </w:rPr>
      </w:pPr>
      <w:bookmarkStart w:id="80" w:name="_Toc192602876"/>
      <w:r>
        <w:rPr>
          <w:rFonts w:hint="eastAsia"/>
        </w:rPr>
        <w:t>病虫害防治</w:t>
      </w:r>
      <w:bookmarkEnd w:id="80"/>
    </w:p>
    <w:p w14:paraId="0257B75C">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夏枯草病虫害较少，主要病害为立枯病、褐斑病，主要虫害为蚜虫。病虫害防治贯彻“预防为主、综合防治”的植保原则,优先使用农业防治、生物防治和物理防治，应急防控应选取允许使用的高效、低毒、低残留的农药。夏枯草主要病虫害剂防治方法见附录A。农药使用应符合《农药管理条例》和GB/T 8321(所有部分)的规定。</w:t>
      </w:r>
    </w:p>
    <w:p w14:paraId="6CC2719C">
      <w:pPr>
        <w:pStyle w:val="105"/>
        <w:spacing w:before="312" w:after="312"/>
        <w:rPr>
          <w:rFonts w:hint="eastAsia"/>
        </w:rPr>
      </w:pPr>
      <w:bookmarkStart w:id="81" w:name="_Toc192602877"/>
      <w:r>
        <w:rPr>
          <w:rFonts w:hint="eastAsia"/>
        </w:rPr>
        <w:t>采收</w:t>
      </w:r>
      <w:bookmarkEnd w:id="81"/>
    </w:p>
    <w:p w14:paraId="70AB8851">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5月下旬至6月上旬，70%果穗呈棕褐色时，选择晴天收割全草，除去杂质、晒干。用剪刀剪下果穗，果梗不超过2 cm,果穗和地上部分分别收存，置干净晒场自然晒干或烘干至含水量≤13%。</w:t>
      </w:r>
    </w:p>
    <w:p w14:paraId="6778DD6A">
      <w:pPr>
        <w:pStyle w:val="105"/>
        <w:spacing w:before="312" w:after="312"/>
        <w:rPr>
          <w:rFonts w:hint="eastAsia"/>
        </w:rPr>
      </w:pPr>
      <w:bookmarkStart w:id="82" w:name="_Toc8976"/>
      <w:bookmarkStart w:id="83" w:name="_Toc192602878"/>
      <w:r>
        <w:rPr>
          <w:rFonts w:hint="eastAsia"/>
        </w:rPr>
        <w:t>运输和储藏</w:t>
      </w:r>
      <w:bookmarkEnd w:id="82"/>
      <w:bookmarkEnd w:id="83"/>
    </w:p>
    <w:p w14:paraId="3F2E7096">
      <w:pPr>
        <w:pStyle w:val="106"/>
        <w:spacing w:before="156" w:after="156"/>
        <w:rPr>
          <w:rFonts w:hint="eastAsia"/>
        </w:rPr>
      </w:pPr>
      <w:r>
        <w:rPr>
          <w:rFonts w:hint="eastAsia"/>
        </w:rPr>
        <w:t>运输</w:t>
      </w:r>
    </w:p>
    <w:p w14:paraId="29D7214A">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运输工具或容器应具有较好的通气性,以保持干燥。尽量缩短运输时间。不得与其它有毒、有害物质混装运输。运输期间防止发生混淆、污染、异物混入、包装破损、雨雪淋湿等。</w:t>
      </w:r>
    </w:p>
    <w:p w14:paraId="62E09901">
      <w:pPr>
        <w:pStyle w:val="106"/>
        <w:spacing w:before="156" w:after="156"/>
        <w:rPr>
          <w:rFonts w:hint="eastAsia"/>
        </w:rPr>
      </w:pPr>
      <w:r>
        <w:rPr>
          <w:rFonts w:hint="eastAsia"/>
        </w:rPr>
        <w:t>贮藏</w:t>
      </w:r>
    </w:p>
    <w:p w14:paraId="24306C0E">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存放在清洁、干燥、阴凉的场所，忌光照、受潮、受热。</w:t>
      </w:r>
    </w:p>
    <w:p w14:paraId="12C532E4">
      <w:pPr>
        <w:pStyle w:val="105"/>
        <w:spacing w:before="312" w:after="312"/>
        <w:rPr>
          <w:rFonts w:hint="eastAsia"/>
        </w:rPr>
      </w:pPr>
      <w:bookmarkStart w:id="84" w:name="_Toc192602879"/>
      <w:bookmarkStart w:id="85" w:name="_Toc28322"/>
      <w:r>
        <w:rPr>
          <w:rFonts w:hint="eastAsia"/>
        </w:rPr>
        <w:t>质量要求</w:t>
      </w:r>
      <w:bookmarkEnd w:id="84"/>
      <w:bookmarkEnd w:id="85"/>
    </w:p>
    <w:p w14:paraId="297151D0">
      <w:pPr>
        <w:pStyle w:val="14"/>
        <w:kinsoku w:val="0"/>
        <w:overflowPunct w:val="0"/>
        <w:spacing w:line="292" w:lineRule="auto"/>
        <w:ind w:left="237" w:right="971" w:firstLine="421"/>
        <w:rPr>
          <w:rFonts w:hint="eastAsia" w:ascii="Times New Roman" w:hAnsi="宋体" w:eastAsia="宋体" w:cs="Times New Roman"/>
          <w:sz w:val="21"/>
          <w:lang w:val="en-US" w:eastAsia="zh-CN" w:bidi="ar-SA"/>
        </w:rPr>
      </w:pPr>
      <w:r>
        <w:rPr>
          <w:rFonts w:hint="eastAsia" w:ascii="Times New Roman" w:hAnsi="宋体" w:eastAsia="宋体" w:cs="Times New Roman"/>
          <w:sz w:val="21"/>
          <w:lang w:val="en-US" w:eastAsia="zh-CN" w:bidi="ar-SA"/>
        </w:rPr>
        <w:t>药用应符合《中华人民共和国药典》(2020 年版一部)“夏枯草”项下的要求。</w:t>
      </w:r>
    </w:p>
    <w:p w14:paraId="4109A8D9">
      <w:pPr>
        <w:pStyle w:val="57"/>
        <w:ind w:firstLine="420"/>
        <w:rPr>
          <w:rFonts w:hint="eastAsia" w:ascii="Times New Roman"/>
          <w:highlight w:val="yellow"/>
        </w:rPr>
      </w:pPr>
    </w:p>
    <w:p w14:paraId="40B7521E">
      <w:pPr>
        <w:pStyle w:val="199"/>
        <w:numPr>
          <w:ilvl w:val="0"/>
          <w:numId w:val="0"/>
        </w:numPr>
        <w:ind w:left="420"/>
        <w:rPr>
          <w:rFonts w:ascii="Times New Roman" w:hAnsi="Times New Roman"/>
          <w:vanish w:val="0"/>
        </w:rPr>
      </w:pPr>
    </w:p>
    <w:p w14:paraId="67C2D793">
      <w:pPr>
        <w:pStyle w:val="200"/>
        <w:numPr>
          <w:ilvl w:val="0"/>
          <w:numId w:val="32"/>
        </w:numPr>
        <w:ind w:firstLine="0"/>
        <w:rPr>
          <w:rFonts w:ascii="Times New Roman"/>
          <w:vanish w:val="0"/>
        </w:rPr>
      </w:pPr>
    </w:p>
    <w:p w14:paraId="41E698C7">
      <w:pPr>
        <w:pStyle w:val="77"/>
        <w:numPr>
          <w:ilvl w:val="0"/>
          <w:numId w:val="0"/>
        </w:numPr>
        <w:spacing w:before="78" w:afterLines="0"/>
        <w:jc w:val="both"/>
        <w:rPr>
          <w:rFonts w:hint="eastAsia" w:ascii="Times New Roman"/>
        </w:rPr>
      </w:pPr>
    </w:p>
    <w:p w14:paraId="2E80A0E4">
      <w:pPr>
        <w:pStyle w:val="57"/>
        <w:ind w:firstLine="0" w:firstLineChars="0"/>
        <w:jc w:val="center"/>
      </w:pPr>
    </w:p>
    <w:p w14:paraId="22C2C274">
      <w:pPr>
        <w:pStyle w:val="14"/>
        <w:kinsoku w:val="0"/>
        <w:overflowPunct w:val="0"/>
        <w:spacing w:line="290" w:lineRule="auto"/>
        <w:ind w:left="235" w:right="1056" w:firstLine="431"/>
        <w:rPr>
          <w:rFonts w:ascii="宋体" w:hAnsi="宋体" w:cs="宋体"/>
        </w:rPr>
      </w:pPr>
    </w:p>
    <w:p w14:paraId="181434DB">
      <w:pPr>
        <w:pStyle w:val="14"/>
        <w:kinsoku w:val="0"/>
        <w:overflowPunct w:val="0"/>
        <w:spacing w:line="290" w:lineRule="auto"/>
        <w:ind w:left="235" w:right="1056" w:firstLine="431"/>
        <w:rPr>
          <w:rFonts w:ascii="宋体" w:hAnsi="宋体" w:cs="宋体"/>
        </w:rPr>
      </w:pPr>
    </w:p>
    <w:p w14:paraId="079910B3">
      <w:pPr>
        <w:pStyle w:val="14"/>
        <w:kinsoku w:val="0"/>
        <w:overflowPunct w:val="0"/>
        <w:spacing w:line="290" w:lineRule="auto"/>
        <w:ind w:left="235" w:right="1056" w:firstLine="431"/>
        <w:rPr>
          <w:rFonts w:ascii="宋体" w:hAnsi="宋体" w:cs="宋体"/>
        </w:rPr>
      </w:pPr>
    </w:p>
    <w:p w14:paraId="162D45AF">
      <w:pPr>
        <w:pStyle w:val="14"/>
        <w:kinsoku w:val="0"/>
        <w:overflowPunct w:val="0"/>
        <w:spacing w:line="290" w:lineRule="auto"/>
        <w:ind w:left="235" w:right="1056" w:firstLine="431"/>
        <w:rPr>
          <w:rFonts w:ascii="宋体" w:hAnsi="宋体" w:cs="宋体"/>
        </w:rPr>
      </w:pPr>
    </w:p>
    <w:p w14:paraId="1606BCB3">
      <w:pPr>
        <w:pStyle w:val="14"/>
        <w:kinsoku w:val="0"/>
        <w:overflowPunct w:val="0"/>
        <w:spacing w:line="290" w:lineRule="auto"/>
        <w:ind w:left="235" w:right="1056" w:firstLine="431"/>
        <w:rPr>
          <w:rFonts w:ascii="宋体" w:hAnsi="宋体" w:cs="宋体"/>
        </w:rPr>
      </w:pPr>
    </w:p>
    <w:p w14:paraId="35598106">
      <w:pPr>
        <w:pStyle w:val="14"/>
        <w:kinsoku w:val="0"/>
        <w:overflowPunct w:val="0"/>
        <w:spacing w:line="290" w:lineRule="auto"/>
        <w:ind w:left="235" w:right="1056" w:firstLine="431"/>
        <w:rPr>
          <w:rFonts w:ascii="宋体" w:hAnsi="宋体" w:cs="宋体"/>
        </w:rPr>
      </w:pPr>
    </w:p>
    <w:p w14:paraId="2FB09EBC">
      <w:pPr>
        <w:pStyle w:val="14"/>
        <w:kinsoku w:val="0"/>
        <w:overflowPunct w:val="0"/>
        <w:spacing w:line="290" w:lineRule="auto"/>
        <w:ind w:left="235" w:right="1056" w:firstLine="431"/>
        <w:rPr>
          <w:rFonts w:ascii="宋体" w:hAnsi="宋体" w:cs="宋体"/>
        </w:rPr>
      </w:pPr>
    </w:p>
    <w:p w14:paraId="6CF5482F">
      <w:pPr>
        <w:pStyle w:val="14"/>
        <w:kinsoku w:val="0"/>
        <w:overflowPunct w:val="0"/>
        <w:spacing w:line="290" w:lineRule="auto"/>
        <w:ind w:left="235" w:right="1056" w:firstLine="431"/>
        <w:rPr>
          <w:rFonts w:ascii="宋体" w:hAnsi="宋体" w:cs="宋体"/>
        </w:rPr>
      </w:pPr>
    </w:p>
    <w:p w14:paraId="4B1425D6">
      <w:pPr>
        <w:pStyle w:val="77"/>
        <w:spacing w:after="156"/>
        <w:jc w:val="center"/>
      </w:pPr>
      <w:bookmarkStart w:id="86" w:name="_Toc153286861"/>
    </w:p>
    <w:p w14:paraId="32A97D47">
      <w:pPr>
        <w:pStyle w:val="57"/>
        <w:jc w:val="both"/>
        <w:rPr>
          <w:rFonts w:hint="eastAsia"/>
          <w:lang w:eastAsia="zh-CN"/>
        </w:rPr>
      </w:pPr>
      <w:r>
        <w:rPr>
          <w:rFonts w:hint="eastAsia"/>
          <w:lang w:eastAsia="zh-CN"/>
        </w:rPr>
        <w:t>　　　　　　　　　　　　　　　　　　（资料性）</w:t>
      </w:r>
    </w:p>
    <w:p w14:paraId="0D8D299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firstLine="0" w:firstLineChars="0"/>
        <w:jc w:val="center"/>
        <w:textAlignment w:val="auto"/>
        <w:outlineLvl w:val="0"/>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夏枯草病虫害种类和防治方法</w:t>
      </w:r>
    </w:p>
    <w:bookmarkEnd w:id="86"/>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5"/>
        <w:gridCol w:w="7527"/>
      </w:tblGrid>
      <w:tr w14:paraId="041D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tcPr>
          <w:p w14:paraId="6D4FC04A">
            <w:pPr>
              <w:pStyle w:val="57"/>
              <w:jc w:val="center"/>
              <w:rPr>
                <w:rFonts w:hint="eastAsia" w:ascii="宋体" w:hAnsi="宋体" w:eastAsia="宋体" w:cs="宋体"/>
                <w:highlight w:val="none"/>
                <w:lang w:val="en-US" w:eastAsia="zh-CN"/>
              </w:rPr>
            </w:pPr>
            <w:r>
              <w:rPr>
                <w:rFonts w:hint="eastAsia" w:hAnsi="宋体" w:cs="宋体"/>
                <w:highlight w:val="none"/>
                <w:lang w:val="en-US" w:eastAsia="zh-CN"/>
              </w:rPr>
              <w:t>防控对象</w:t>
            </w:r>
          </w:p>
        </w:tc>
        <w:tc>
          <w:tcPr>
            <w:tcW w:w="7527" w:type="dxa"/>
          </w:tcPr>
          <w:p w14:paraId="599029D9">
            <w:pPr>
              <w:pStyle w:val="57"/>
              <w:ind w:firstLine="420"/>
              <w:jc w:val="center"/>
              <w:rPr>
                <w:rFonts w:hint="eastAsia" w:ascii="宋体" w:hAnsi="宋体" w:eastAsia="宋体" w:cs="宋体"/>
                <w:highlight w:val="none"/>
              </w:rPr>
            </w:pPr>
            <w:r>
              <w:rPr>
                <w:rFonts w:hint="eastAsia" w:ascii="宋体" w:hAnsi="宋体" w:eastAsia="宋体" w:cs="宋体"/>
                <w:highlight w:val="none"/>
              </w:rPr>
              <w:t>防治措施</w:t>
            </w:r>
          </w:p>
        </w:tc>
      </w:tr>
      <w:tr w14:paraId="22A4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0E4C109D">
            <w:pPr>
              <w:pStyle w:val="57"/>
              <w:ind w:left="0" w:leftChars="0" w:firstLine="0" w:firstLineChars="0"/>
              <w:jc w:val="center"/>
              <w:rPr>
                <w:rFonts w:hint="eastAsia" w:ascii="宋体" w:hAnsi="宋体" w:eastAsia="宋体" w:cs="宋体"/>
                <w:highlight w:val="none"/>
              </w:rPr>
            </w:pPr>
            <w:r>
              <w:rPr>
                <w:rFonts w:hint="eastAsia" w:ascii="宋体" w:hAnsi="宋体" w:eastAsia="宋体" w:cs="宋体"/>
                <w:highlight w:val="none"/>
              </w:rPr>
              <w:t>褐斑病</w:t>
            </w:r>
          </w:p>
        </w:tc>
        <w:tc>
          <w:tcPr>
            <w:tcW w:w="7527" w:type="dxa"/>
            <w:vAlign w:val="center"/>
          </w:tcPr>
          <w:p w14:paraId="2D6CE765">
            <w:pPr>
              <w:pStyle w:val="57"/>
              <w:ind w:left="0" w:leftChars="0" w:firstLine="0" w:firstLineChars="0"/>
              <w:jc w:val="left"/>
              <w:rPr>
                <w:rFonts w:hint="eastAsia" w:ascii="宋体" w:hAnsi="宋体" w:eastAsia="宋体" w:cs="宋体"/>
                <w:highlight w:val="none"/>
              </w:rPr>
            </w:pPr>
            <w:r>
              <w:rPr>
                <w:rFonts w:hint="eastAsia" w:ascii="宋体" w:hAnsi="宋体" w:eastAsia="宋体" w:cs="宋体"/>
                <w:highlight w:val="none"/>
              </w:rPr>
              <w:t>在</w:t>
            </w:r>
            <w:r>
              <w:rPr>
                <w:rFonts w:hint="eastAsia" w:hAnsi="宋体" w:cs="宋体"/>
                <w:highlight w:val="none"/>
                <w:lang w:val="en-US" w:eastAsia="zh-CN"/>
              </w:rPr>
              <w:t>发病初期，</w:t>
            </w:r>
            <w:r>
              <w:rPr>
                <w:rFonts w:hint="eastAsia" w:ascii="宋体" w:hAnsi="宋体" w:eastAsia="宋体" w:cs="宋体"/>
                <w:highlight w:val="none"/>
              </w:rPr>
              <w:t>使用10%多抗霉素B可湿性粉剂1000-1500倍液，或6%井冈·嘧苷素水剂200～400倍液喷雾防治，每隔7 d～10 d喷1次。</w:t>
            </w:r>
          </w:p>
        </w:tc>
      </w:tr>
      <w:tr w14:paraId="53EB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09AB1AF5">
            <w:pPr>
              <w:pStyle w:val="57"/>
              <w:ind w:left="0" w:leftChars="0" w:firstLine="0" w:firstLineChars="0"/>
              <w:jc w:val="center"/>
              <w:rPr>
                <w:rFonts w:hint="eastAsia" w:ascii="宋体" w:hAnsi="宋体" w:eastAsia="宋体" w:cs="宋体"/>
                <w:highlight w:val="none"/>
              </w:rPr>
            </w:pPr>
            <w:r>
              <w:rPr>
                <w:rFonts w:hint="eastAsia" w:ascii="宋体" w:hAnsi="宋体" w:eastAsia="宋体" w:cs="宋体"/>
                <w:highlight w:val="none"/>
              </w:rPr>
              <w:t>立枯病</w:t>
            </w:r>
          </w:p>
        </w:tc>
        <w:tc>
          <w:tcPr>
            <w:tcW w:w="7527" w:type="dxa"/>
            <w:vAlign w:val="center"/>
          </w:tcPr>
          <w:p w14:paraId="2B3655DD">
            <w:pPr>
              <w:pStyle w:val="57"/>
              <w:numPr>
                <w:ilvl w:val="0"/>
                <w:numId w:val="0"/>
              </w:numPr>
              <w:jc w:val="left"/>
              <w:rPr>
                <w:rFonts w:hint="eastAsia" w:ascii="宋体" w:hAnsi="宋体" w:eastAsia="宋体" w:cs="宋体"/>
                <w:highlight w:val="none"/>
              </w:rPr>
            </w:pPr>
            <w:r>
              <w:rPr>
                <w:rFonts w:hint="eastAsia" w:ascii="宋体" w:hAnsi="宋体" w:eastAsia="宋体" w:cs="宋体"/>
                <w:highlight w:val="none"/>
              </w:rPr>
              <w:t>在发病初期，选用5%井冈霉素水剂1500倍液，或2%宁南霉素水剂500～600倍液喷雾防治，药液要喷到植株茎部，每隔7 d～10 d喷1次。</w:t>
            </w:r>
          </w:p>
        </w:tc>
      </w:tr>
      <w:tr w14:paraId="4884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2A8A2BE9">
            <w:pPr>
              <w:pStyle w:val="57"/>
              <w:ind w:left="0" w:leftChars="0" w:firstLine="0" w:firstLineChars="0"/>
              <w:jc w:val="center"/>
              <w:rPr>
                <w:rFonts w:hint="eastAsia" w:ascii="宋体" w:hAnsi="宋体" w:eastAsia="宋体" w:cs="宋体"/>
                <w:highlight w:val="none"/>
              </w:rPr>
            </w:pPr>
            <w:r>
              <w:rPr>
                <w:rFonts w:hint="eastAsia" w:ascii="宋体" w:hAnsi="宋体" w:eastAsia="宋体" w:cs="宋体"/>
                <w:highlight w:val="none"/>
              </w:rPr>
              <w:t>蚜虫</w:t>
            </w:r>
          </w:p>
        </w:tc>
        <w:tc>
          <w:tcPr>
            <w:tcW w:w="7527" w:type="dxa"/>
            <w:vAlign w:val="center"/>
          </w:tcPr>
          <w:p w14:paraId="11070DA3">
            <w:pPr>
              <w:pStyle w:val="57"/>
              <w:numPr>
                <w:ilvl w:val="0"/>
                <w:numId w:val="0"/>
              </w:numPr>
              <w:jc w:val="left"/>
              <w:rPr>
                <w:rFonts w:hint="eastAsia" w:ascii="宋体" w:hAnsi="宋体" w:eastAsia="宋体" w:cs="宋体"/>
                <w:highlight w:val="none"/>
              </w:rPr>
            </w:pPr>
            <w:r>
              <w:rPr>
                <w:rFonts w:hint="eastAsia" w:ascii="Times New Roman" w:hAnsi="Times New Roman" w:cs="Times New Roman"/>
                <w:lang w:val="en-US" w:eastAsia="zh-CN"/>
              </w:rPr>
              <w:t>在</w:t>
            </w:r>
            <w:r>
              <w:rPr>
                <w:rFonts w:hint="default" w:ascii="Times New Roman" w:hAnsi="Times New Roman" w:cs="Times New Roman"/>
              </w:rPr>
              <w:t>虫害发生初期，选用10%的吡虫啉可湿性粉剂10</w:t>
            </w:r>
            <w:r>
              <w:rPr>
                <w:rFonts w:hint="eastAsia" w:ascii="Times New Roman" w:cs="Times New Roman"/>
                <w:lang w:val="en-US" w:eastAsia="zh-CN"/>
              </w:rPr>
              <w:t>g</w:t>
            </w:r>
            <w:r>
              <w:rPr>
                <w:rFonts w:hint="default" w:ascii="Times New Roman" w:hAnsi="Times New Roman" w:cs="Times New Roman"/>
              </w:rPr>
              <w:t>～20</w:t>
            </w:r>
            <w:r>
              <w:rPr>
                <w:rFonts w:hint="eastAsia" w:ascii="Times New Roman" w:cs="Times New Roman"/>
                <w:lang w:val="en-US" w:eastAsia="zh-CN"/>
              </w:rPr>
              <w:t>g</w:t>
            </w:r>
            <w:r>
              <w:rPr>
                <w:rFonts w:hint="default" w:ascii="Times New Roman" w:hAnsi="Times New Roman" w:cs="Times New Roman"/>
              </w:rPr>
              <w:t>/</w:t>
            </w:r>
            <w:r>
              <w:rPr>
                <w:rFonts w:hint="default" w:ascii="Times New Roman" w:hAnsi="Times New Roman" w:cs="Times New Roman"/>
                <w:lang w:eastAsia="zh-CN"/>
              </w:rPr>
              <w:t>666.7㎡</w:t>
            </w:r>
            <w:r>
              <w:rPr>
                <w:rFonts w:hint="default" w:ascii="Times New Roman" w:hAnsi="Times New Roman" w:cs="Times New Roman"/>
              </w:rPr>
              <w:t>，或25%抗蚜威水分散颗粒剂20</w:t>
            </w:r>
            <w:r>
              <w:rPr>
                <w:rFonts w:hint="eastAsia" w:ascii="Times New Roman" w:cs="Times New Roman"/>
                <w:lang w:val="en-US" w:eastAsia="zh-CN"/>
              </w:rPr>
              <w:t>g</w:t>
            </w:r>
            <w:r>
              <w:rPr>
                <w:rFonts w:hint="default" w:ascii="Times New Roman" w:hAnsi="Times New Roman" w:cs="Times New Roman"/>
              </w:rPr>
              <w:t>～36</w:t>
            </w:r>
            <w:r>
              <w:rPr>
                <w:rFonts w:hint="eastAsia" w:ascii="Times New Roman" w:cs="Times New Roman"/>
                <w:lang w:val="en-US" w:eastAsia="zh-CN"/>
              </w:rPr>
              <w:t>g</w:t>
            </w:r>
            <w:r>
              <w:rPr>
                <w:rFonts w:hint="default" w:ascii="Times New Roman" w:hAnsi="Times New Roman" w:cs="Times New Roman"/>
              </w:rPr>
              <w:t>/</w:t>
            </w:r>
            <w:r>
              <w:rPr>
                <w:rFonts w:hint="default" w:ascii="Times New Roman" w:hAnsi="Times New Roman" w:cs="Times New Roman"/>
                <w:lang w:eastAsia="zh-CN"/>
              </w:rPr>
              <w:t>666.7㎡</w:t>
            </w:r>
            <w:r>
              <w:rPr>
                <w:rFonts w:hint="default" w:ascii="Times New Roman" w:hAnsi="Times New Roman" w:cs="Times New Roman"/>
              </w:rPr>
              <w:t>，或22%氟啶虫胺腈7.5</w:t>
            </w:r>
            <w:r>
              <w:rPr>
                <w:rFonts w:hint="eastAsia" w:ascii="Times New Roman" w:cs="Times New Roman"/>
                <w:lang w:val="en-US" w:eastAsia="zh-CN"/>
              </w:rPr>
              <w:t>ml</w:t>
            </w:r>
            <w:r>
              <w:rPr>
                <w:rFonts w:hint="default" w:ascii="Times New Roman" w:hAnsi="Times New Roman" w:cs="Times New Roman"/>
              </w:rPr>
              <w:t>～12.5</w:t>
            </w:r>
            <w:r>
              <w:rPr>
                <w:rFonts w:hint="default" w:ascii="Times New Roman" w:hAnsi="Times New Roman" w:cs="Times New Roman"/>
                <w:lang w:eastAsia="zh-CN"/>
              </w:rPr>
              <w:t>ml</w:t>
            </w:r>
            <w:r>
              <w:rPr>
                <w:rFonts w:hint="default" w:ascii="Times New Roman" w:hAnsi="Times New Roman" w:cs="Times New Roman"/>
              </w:rPr>
              <w:t>/</w:t>
            </w:r>
            <w:r>
              <w:rPr>
                <w:rFonts w:hint="default" w:ascii="Times New Roman" w:hAnsi="Times New Roman" w:cs="Times New Roman"/>
                <w:lang w:eastAsia="zh-CN"/>
              </w:rPr>
              <w:t>666.7㎡</w:t>
            </w:r>
            <w:r>
              <w:rPr>
                <w:rFonts w:hint="default" w:ascii="Times New Roman" w:hAnsi="Times New Roman" w:cs="Times New Roman"/>
              </w:rPr>
              <w:t>喷雾防治，每7</w:t>
            </w:r>
            <w:r>
              <w:rPr>
                <w:rFonts w:hint="eastAsia" w:ascii="Times New Roman" w:cs="Times New Roman"/>
                <w:lang w:val="en-US" w:eastAsia="zh-CN"/>
              </w:rPr>
              <w:t>d</w:t>
            </w:r>
            <w:r>
              <w:rPr>
                <w:rFonts w:hint="default" w:ascii="Times New Roman" w:hAnsi="Times New Roman" w:cs="Times New Roman"/>
              </w:rPr>
              <w:t>左右防治一次，连续防治2～3次。</w:t>
            </w:r>
          </w:p>
        </w:tc>
      </w:tr>
      <w:tr w14:paraId="361F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72DF86B0">
            <w:pPr>
              <w:pStyle w:val="57"/>
              <w:ind w:left="0" w:leftChars="0" w:firstLine="0" w:firstLineChars="0"/>
              <w:jc w:val="center"/>
              <w:rPr>
                <w:rFonts w:hint="eastAsia" w:ascii="宋体" w:hAnsi="宋体" w:eastAsia="宋体" w:cs="宋体"/>
                <w:highlight w:val="none"/>
                <w:lang w:val="en-US" w:eastAsia="zh-CN"/>
              </w:rPr>
            </w:pPr>
            <w:r>
              <w:rPr>
                <w:rFonts w:hint="eastAsia" w:hAnsi="宋体" w:cs="宋体"/>
                <w:highlight w:val="none"/>
                <w:lang w:val="en-US" w:eastAsia="zh-CN"/>
              </w:rPr>
              <w:t>甜菜夜蛾</w:t>
            </w:r>
          </w:p>
        </w:tc>
        <w:tc>
          <w:tcPr>
            <w:tcW w:w="7527" w:type="dxa"/>
            <w:vAlign w:val="center"/>
          </w:tcPr>
          <w:p w14:paraId="0F86370C">
            <w:pPr>
              <w:pStyle w:val="57"/>
              <w:numPr>
                <w:ilvl w:val="0"/>
                <w:numId w:val="0"/>
              </w:numPr>
              <w:jc w:val="left"/>
              <w:rPr>
                <w:rFonts w:hint="eastAsia" w:ascii="Times New Roman" w:hAnsi="Times New Roman" w:cs="Times New Roman"/>
                <w:lang w:val="en-US" w:eastAsia="zh-CN"/>
              </w:rPr>
            </w:pPr>
            <w:r>
              <w:rPr>
                <w:rFonts w:hint="eastAsia" w:ascii="Times New Roman" w:hAnsi="Times New Roman" w:cs="Times New Roman"/>
                <w:lang w:val="en-US" w:eastAsia="zh-CN"/>
              </w:rPr>
              <w:t>在虫害发生初期，使用2%甲氨基阿维菌素苯甲酸盐乳油1000- 2000倍液叶面喷药喷雾防治，</w:t>
            </w:r>
            <w:r>
              <w:rPr>
                <w:rFonts w:hint="default" w:ascii="Times New Roman" w:hAnsi="Times New Roman" w:cs="Times New Roman"/>
                <w:color w:val="000000"/>
              </w:rPr>
              <w:t>每7</w:t>
            </w:r>
            <w:r>
              <w:rPr>
                <w:rFonts w:hint="eastAsia" w:ascii="Times New Roman" w:hAnsi="Times New Roman" w:cs="Times New Roman"/>
                <w:color w:val="000000"/>
                <w:lang w:val="en-US" w:eastAsia="zh-CN"/>
              </w:rPr>
              <w:t>d</w:t>
            </w:r>
            <w:r>
              <w:rPr>
                <w:rFonts w:hint="default" w:ascii="Times New Roman" w:hAnsi="Times New Roman" w:cs="Times New Roman"/>
                <w:color w:val="000000"/>
              </w:rPr>
              <w:t>左右防治一次，连续防治2～3次。</w:t>
            </w:r>
          </w:p>
        </w:tc>
      </w:tr>
      <w:tr w14:paraId="2F80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0555DD02">
            <w:pPr>
              <w:pStyle w:val="57"/>
              <w:ind w:left="0" w:leftChars="0" w:firstLine="0" w:firstLineChars="0"/>
              <w:jc w:val="center"/>
              <w:rPr>
                <w:rFonts w:hint="default" w:hAnsi="宋体" w:cs="宋体"/>
                <w:highlight w:val="none"/>
                <w:lang w:val="en-US" w:eastAsia="zh-CN"/>
              </w:rPr>
            </w:pPr>
            <w:r>
              <w:rPr>
                <w:rFonts w:hint="eastAsia" w:hAnsi="宋体" w:cs="宋体"/>
                <w:highlight w:val="none"/>
                <w:lang w:val="en-US" w:eastAsia="zh-CN"/>
              </w:rPr>
              <w:t>菜粉蝶</w:t>
            </w:r>
          </w:p>
        </w:tc>
        <w:tc>
          <w:tcPr>
            <w:tcW w:w="7527" w:type="dxa"/>
            <w:vAlign w:val="center"/>
          </w:tcPr>
          <w:p w14:paraId="5C1B655D">
            <w:pPr>
              <w:pStyle w:val="57"/>
              <w:numPr>
                <w:ilvl w:val="0"/>
                <w:numId w:val="0"/>
              </w:numPr>
              <w:jc w:val="left"/>
              <w:rPr>
                <w:rFonts w:hint="default" w:ascii="Times New Roman" w:hAnsi="Times New Roman" w:cs="Times New Roman"/>
                <w:lang w:val="en-US" w:eastAsia="zh-CN"/>
              </w:rPr>
            </w:pPr>
            <w:r>
              <w:rPr>
                <w:rFonts w:hint="eastAsia" w:ascii="Times New Roman" w:hAnsi="Times New Roman" w:cs="Times New Roman"/>
                <w:lang w:val="en-US" w:eastAsia="zh-CN"/>
              </w:rPr>
              <w:t>在虫害发生初期，使用2%甲氨基阿维菌素苯甲酸盐乳油1000- 2000倍液叶面喷药喷雾防治，</w:t>
            </w:r>
            <w:r>
              <w:rPr>
                <w:rFonts w:hint="default" w:ascii="Times New Roman" w:hAnsi="Times New Roman" w:cs="Times New Roman"/>
                <w:color w:val="000000"/>
              </w:rPr>
              <w:t>每7</w:t>
            </w:r>
            <w:r>
              <w:rPr>
                <w:rFonts w:hint="eastAsia" w:ascii="Times New Roman" w:hAnsi="Times New Roman" w:cs="Times New Roman"/>
                <w:color w:val="000000"/>
                <w:lang w:val="en-US" w:eastAsia="zh-CN"/>
              </w:rPr>
              <w:t>d</w:t>
            </w:r>
            <w:r>
              <w:rPr>
                <w:rFonts w:hint="default" w:ascii="Times New Roman" w:hAnsi="Times New Roman" w:cs="Times New Roman"/>
                <w:color w:val="000000"/>
              </w:rPr>
              <w:t>左右防治一次，连续防治2～3次。</w:t>
            </w:r>
          </w:p>
        </w:tc>
      </w:tr>
      <w:tr w14:paraId="6DEE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center"/>
          </w:tcPr>
          <w:p w14:paraId="3E908E95">
            <w:pPr>
              <w:pStyle w:val="57"/>
              <w:ind w:left="0" w:leftChars="0" w:firstLine="0" w:firstLineChars="0"/>
              <w:jc w:val="center"/>
              <w:rPr>
                <w:rFonts w:hint="default" w:hAnsi="宋体" w:cs="宋体"/>
                <w:highlight w:val="none"/>
                <w:lang w:val="en-US" w:eastAsia="zh-CN"/>
              </w:rPr>
            </w:pPr>
            <w:r>
              <w:rPr>
                <w:rFonts w:hint="eastAsia" w:hAnsi="宋体" w:cs="宋体"/>
                <w:highlight w:val="none"/>
                <w:lang w:val="en-US" w:eastAsia="zh-CN"/>
              </w:rPr>
              <w:t>跳甲</w:t>
            </w:r>
          </w:p>
        </w:tc>
        <w:tc>
          <w:tcPr>
            <w:tcW w:w="7527" w:type="dxa"/>
            <w:vAlign w:val="center"/>
          </w:tcPr>
          <w:p w14:paraId="2E1B4EB6">
            <w:pPr>
              <w:pStyle w:val="57"/>
              <w:numPr>
                <w:ilvl w:val="0"/>
                <w:numId w:val="0"/>
              </w:numPr>
              <w:jc w:val="left"/>
              <w:rPr>
                <w:rFonts w:hint="default" w:ascii="Times New Roman" w:hAnsi="Times New Roman" w:cs="Times New Roman"/>
                <w:lang w:val="en-US" w:eastAsia="zh-CN"/>
              </w:rPr>
            </w:pPr>
            <w:r>
              <w:rPr>
                <w:rFonts w:hint="eastAsia" w:ascii="Times New Roman" w:hAnsi="Times New Roman" w:cs="Times New Roman"/>
                <w:lang w:val="en-US" w:eastAsia="zh-CN"/>
              </w:rPr>
              <w:t xml:space="preserve">在虫害发生初期，使用 90%敌百虫晶体800~ </w:t>
            </w:r>
            <w:r>
              <w:rPr>
                <w:rFonts w:hint="default" w:ascii="Times New Roman" w:hAnsi="Times New Roman" w:cs="Times New Roman"/>
                <w:lang w:val="en-US" w:eastAsia="zh-CN"/>
              </w:rPr>
              <w:t>1000倍液</w:t>
            </w:r>
            <w:r>
              <w:rPr>
                <w:rFonts w:hint="eastAsia" w:ascii="Times New Roman" w:cs="Times New Roman"/>
                <w:lang w:val="en-US" w:eastAsia="zh-CN"/>
              </w:rPr>
              <w:t>喷雾防治，</w:t>
            </w:r>
            <w:r>
              <w:rPr>
                <w:rFonts w:hint="default" w:ascii="Times New Roman" w:hAnsi="Times New Roman" w:cs="Times New Roman"/>
                <w:color w:val="000000"/>
              </w:rPr>
              <w:t>每7</w:t>
            </w:r>
            <w:r>
              <w:rPr>
                <w:rFonts w:hint="eastAsia" w:ascii="Times New Roman" w:hAnsi="Times New Roman" w:cs="Times New Roman"/>
                <w:color w:val="000000"/>
                <w:lang w:val="en-US" w:eastAsia="zh-CN"/>
              </w:rPr>
              <w:t>d</w:t>
            </w:r>
            <w:r>
              <w:rPr>
                <w:rFonts w:hint="default" w:ascii="Times New Roman" w:hAnsi="Times New Roman" w:cs="Times New Roman"/>
                <w:color w:val="000000"/>
              </w:rPr>
              <w:t>左右防治一次，连续防治2～3次</w:t>
            </w:r>
          </w:p>
        </w:tc>
      </w:tr>
      <w:tr w14:paraId="11D1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shd w:val="clear" w:color="auto" w:fill="auto"/>
            <w:vAlign w:val="center"/>
          </w:tcPr>
          <w:p w14:paraId="60C23329">
            <w:pPr>
              <w:pStyle w:val="57"/>
              <w:ind w:firstLine="0" w:firstLineChars="0"/>
              <w:jc w:val="center"/>
              <w:rPr>
                <w:rFonts w:hint="eastAsia" w:ascii="Times New Roman" w:hAnsi="Times New Roman" w:eastAsia="宋体" w:cs="Times New Roman"/>
                <w:sz w:val="21"/>
                <w:lang w:val="en-US" w:eastAsia="zh-CN" w:bidi="ar-SA"/>
              </w:rPr>
            </w:pPr>
            <w:r>
              <w:rPr>
                <w:rFonts w:hint="default" w:ascii="Times New Roman" w:hAnsi="Times New Roman" w:cs="Times New Roman"/>
              </w:rPr>
              <w:t>红蜘蛛</w:t>
            </w:r>
          </w:p>
        </w:tc>
        <w:tc>
          <w:tcPr>
            <w:tcW w:w="7527" w:type="dxa"/>
            <w:shd w:val="clear" w:color="auto" w:fill="auto"/>
            <w:vAlign w:val="top"/>
          </w:tcPr>
          <w:p w14:paraId="71992F4E">
            <w:pPr>
              <w:pStyle w:val="57"/>
              <w:numPr>
                <w:ilvl w:val="0"/>
                <w:numId w:val="0"/>
              </w:numPr>
              <w:jc w:val="left"/>
              <w:rPr>
                <w:rFonts w:hint="eastAsia" w:ascii="Times New Roman" w:hAnsi="Times New Roman" w:eastAsia="宋体" w:cs="Times New Roman"/>
                <w:sz w:val="21"/>
                <w:lang w:val="en-US" w:eastAsia="zh-CN" w:bidi="ar-SA"/>
              </w:rPr>
            </w:pPr>
            <w:r>
              <w:rPr>
                <w:rFonts w:hint="eastAsia" w:ascii="Times New Roman" w:hAnsi="Times New Roman" w:cs="Times New Roman"/>
                <w:lang w:val="en-US" w:eastAsia="zh-CN"/>
              </w:rPr>
              <w:t>在虫害</w:t>
            </w:r>
            <w:r>
              <w:rPr>
                <w:rFonts w:hint="default" w:ascii="Times New Roman" w:hAnsi="Times New Roman" w:cs="Times New Roman"/>
                <w:lang w:val="en-US" w:eastAsia="zh-CN"/>
              </w:rPr>
              <w:t>发生初期，喷施20%哒螨灵可湿性粉剂3000～4000倍液，或喷施20%乙螨唑悬浮液9000～11000倍液，40%炔螨特微乳剂1000～2000倍液，每7</w:t>
            </w:r>
            <w:r>
              <w:rPr>
                <w:rFonts w:hint="eastAsia" w:ascii="Times New Roman" w:hAnsi="Times New Roman" w:cs="Times New Roman"/>
                <w:lang w:val="en-US" w:eastAsia="zh-CN"/>
              </w:rPr>
              <w:t>d</w:t>
            </w:r>
            <w:r>
              <w:rPr>
                <w:rFonts w:hint="default" w:ascii="Times New Roman" w:hAnsi="Times New Roman" w:cs="Times New Roman"/>
                <w:lang w:val="en-US" w:eastAsia="zh-CN"/>
              </w:rPr>
              <w:t>左右防治一次，连续防治2～3次。</w:t>
            </w:r>
          </w:p>
        </w:tc>
      </w:tr>
    </w:tbl>
    <w:p w14:paraId="695A9CAF">
      <w:pPr>
        <w:pStyle w:val="57"/>
        <w:ind w:firstLine="420" w:firstLineChars="0"/>
        <w:jc w:val="center"/>
      </w:pPr>
    </w:p>
    <w:p w14:paraId="17A7BD4D">
      <w:pPr>
        <w:pStyle w:val="57"/>
        <w:ind w:firstLine="420" w:firstLineChars="0"/>
        <w:jc w:val="center"/>
      </w:pPr>
    </w:p>
    <w:p w14:paraId="68842931">
      <w:pPr>
        <w:pStyle w:val="57"/>
        <w:ind w:firstLine="420" w:firstLineChars="0"/>
        <w:jc w:val="center"/>
      </w:pPr>
    </w:p>
    <w:p w14:paraId="5FA8F08E">
      <w:pPr>
        <w:pStyle w:val="57"/>
        <w:ind w:firstLine="420" w:firstLineChars="0"/>
        <w:jc w:val="center"/>
        <w:rPr>
          <w:b/>
          <w:bCs/>
        </w:rPr>
      </w:pPr>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33"/>
    </w:p>
    <w:p w14:paraId="22BD60E8">
      <w:pPr>
        <w:pStyle w:val="57"/>
        <w:ind w:firstLine="420" w:firstLineChars="0"/>
        <w:jc w:val="center"/>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CD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5F9D">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991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DEA3">
    <w:pPr>
      <w:pStyle w:val="53"/>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514A1">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D5A8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BA7BC">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EC409">
    <w:pPr>
      <w:pStyle w:val="62"/>
    </w:pPr>
    <w:r>
      <w:fldChar w:fldCharType="begin"/>
    </w:r>
    <w:r>
      <w:instrText xml:space="preserve"> STYLEREF  标准文件_文件编号  \* MERGEFORMAT </w:instrText>
    </w:r>
    <w:r>
      <w:fldChar w:fldCharType="separate"/>
    </w:r>
    <w:r>
      <w:t>DB 4113/T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070C8">
    <w:pPr>
      <w:pStyle w:val="19"/>
      <w:jc w:val="right"/>
      <w:rPr>
        <w:lang w:val="fr-FR"/>
      </w:rPr>
    </w:pPr>
    <w:r>
      <w:fldChar w:fldCharType="begin"/>
    </w:r>
    <w:r>
      <w:instrText xml:space="preserve"> STYLEREF  标准文件_文件编号  \* MERGEFORMAT </w:instrText>
    </w:r>
    <w:r>
      <w:fldChar w:fldCharType="separate"/>
    </w:r>
    <w:r>
      <w:t>DB 4113/T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2"/>
    <w:multiLevelType w:val="multilevel"/>
    <w:tmpl w:val="00000012"/>
    <w:lvl w:ilvl="0" w:tentative="0">
      <w:start w:val="1"/>
      <w:numFmt w:val="upperLetter"/>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EF7C7BF"/>
    <w:multiLevelType w:val="multilevel"/>
    <w:tmpl w:val="5EF7C7BF"/>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95"/>
      <w:suff w:val="nothing"/>
      <w:lvlText w:val="%1%2.%3.%4.%5　"/>
      <w:lvlJc w:val="left"/>
      <w:pPr>
        <w:ind w:left="709"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1"/>
  </w:num>
  <w:num w:numId="3">
    <w:abstractNumId w:val="6"/>
  </w:num>
  <w:num w:numId="4">
    <w:abstractNumId w:val="25"/>
  </w:num>
  <w:num w:numId="5">
    <w:abstractNumId w:val="19"/>
  </w:num>
  <w:num w:numId="6">
    <w:abstractNumId w:val="14"/>
  </w:num>
  <w:num w:numId="7">
    <w:abstractNumId w:val="9"/>
  </w:num>
  <w:num w:numId="8">
    <w:abstractNumId w:val="4"/>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3"/>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2"/>
  </w:num>
  <w:num w:numId="24">
    <w:abstractNumId w:val="7"/>
  </w:num>
  <w:num w:numId="25">
    <w:abstractNumId w:val="28"/>
  </w:num>
  <w:num w:numId="26">
    <w:abstractNumId w:val="29"/>
  </w:num>
  <w:num w:numId="27">
    <w:abstractNumId w:val="3"/>
  </w:num>
  <w:num w:numId="28">
    <w:abstractNumId w:val="5"/>
  </w:num>
  <w:num w:numId="29">
    <w:abstractNumId w:val="15"/>
  </w:num>
  <w:num w:numId="30">
    <w:abstractNumId w:val="26"/>
  </w:num>
  <w:num w:numId="31">
    <w:abstractNumId w:val="2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cryptProviderType="rsaAES" w:cryptAlgorithmClass="hash" w:cryptAlgorithmType="typeAny" w:cryptAlgorithmSid="14" w:cryptSpinCount="100000" w:hash="u6GwMm99uvb/SCs+KQGc7an5F7E0fcEiYerfyaOiR93Jc+9pEVcOZ1h6CwZZg2SHfdU9FzaPgMiP0qwx1CvVDQ==" w:salt="4hhHDX2hHrQnwcEEVz1TN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0MDlmOWIxYjYxNmRmNDhjM2M4M2YzOWE2YTcyNmEifQ=="/>
  </w:docVars>
  <w:rsids>
    <w:rsidRoot w:val="004E6E8C"/>
    <w:rsid w:val="0000040A"/>
    <w:rsid w:val="00000A94"/>
    <w:rsid w:val="00001972"/>
    <w:rsid w:val="00001D9A"/>
    <w:rsid w:val="0000669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749"/>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0D7"/>
    <w:rsid w:val="00067F1E"/>
    <w:rsid w:val="00071CC0"/>
    <w:rsid w:val="00073C8C"/>
    <w:rsid w:val="00077B64"/>
    <w:rsid w:val="00080A1C"/>
    <w:rsid w:val="00082317"/>
    <w:rsid w:val="00083D2C"/>
    <w:rsid w:val="00086AA1"/>
    <w:rsid w:val="00087A77"/>
    <w:rsid w:val="00090CA6"/>
    <w:rsid w:val="00091ECF"/>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999"/>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06C7"/>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4AA"/>
    <w:rsid w:val="001B06E8"/>
    <w:rsid w:val="001B71D0"/>
    <w:rsid w:val="001B71EE"/>
    <w:rsid w:val="001C04A8"/>
    <w:rsid w:val="001C2C03"/>
    <w:rsid w:val="001C42F7"/>
    <w:rsid w:val="001C49E5"/>
    <w:rsid w:val="001C680C"/>
    <w:rsid w:val="001C7FEA"/>
    <w:rsid w:val="001D0499"/>
    <w:rsid w:val="001D0BBE"/>
    <w:rsid w:val="001D0C3F"/>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EFF"/>
    <w:rsid w:val="001F4816"/>
    <w:rsid w:val="001F4EE9"/>
    <w:rsid w:val="001F4F51"/>
    <w:rsid w:val="001F6068"/>
    <w:rsid w:val="001F69B4"/>
    <w:rsid w:val="001F77C7"/>
    <w:rsid w:val="00200183"/>
    <w:rsid w:val="00200333"/>
    <w:rsid w:val="0020107D"/>
    <w:rsid w:val="00202AA4"/>
    <w:rsid w:val="002031F7"/>
    <w:rsid w:val="002040E6"/>
    <w:rsid w:val="00204889"/>
    <w:rsid w:val="0020527B"/>
    <w:rsid w:val="00205F2C"/>
    <w:rsid w:val="00210B15"/>
    <w:rsid w:val="002142EA"/>
    <w:rsid w:val="002204BB"/>
    <w:rsid w:val="00221B79"/>
    <w:rsid w:val="00221C6B"/>
    <w:rsid w:val="002253A1"/>
    <w:rsid w:val="00225CF8"/>
    <w:rsid w:val="0022794E"/>
    <w:rsid w:val="002320A9"/>
    <w:rsid w:val="00233D64"/>
    <w:rsid w:val="0023482A"/>
    <w:rsid w:val="002359CB"/>
    <w:rsid w:val="00243262"/>
    <w:rsid w:val="00243540"/>
    <w:rsid w:val="0024497B"/>
    <w:rsid w:val="0024515B"/>
    <w:rsid w:val="00246021"/>
    <w:rsid w:val="0024666E"/>
    <w:rsid w:val="00247F52"/>
    <w:rsid w:val="00250B25"/>
    <w:rsid w:val="00250BBE"/>
    <w:rsid w:val="002515C2"/>
    <w:rsid w:val="0025194F"/>
    <w:rsid w:val="00252378"/>
    <w:rsid w:val="0026148A"/>
    <w:rsid w:val="00262696"/>
    <w:rsid w:val="00263D25"/>
    <w:rsid w:val="002643C3"/>
    <w:rsid w:val="00264A0C"/>
    <w:rsid w:val="00266EEB"/>
    <w:rsid w:val="00267EF4"/>
    <w:rsid w:val="00270CB8"/>
    <w:rsid w:val="00272B08"/>
    <w:rsid w:val="00281BB8"/>
    <w:rsid w:val="00281E9E"/>
    <w:rsid w:val="00282405"/>
    <w:rsid w:val="00283A94"/>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C7E"/>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E43"/>
    <w:rsid w:val="003C010C"/>
    <w:rsid w:val="003C0A6C"/>
    <w:rsid w:val="003C14F8"/>
    <w:rsid w:val="003C5A43"/>
    <w:rsid w:val="003D0519"/>
    <w:rsid w:val="003D0FF6"/>
    <w:rsid w:val="003D262C"/>
    <w:rsid w:val="003D6D61"/>
    <w:rsid w:val="003E091D"/>
    <w:rsid w:val="003E1C53"/>
    <w:rsid w:val="003E2A69"/>
    <w:rsid w:val="003E2D49"/>
    <w:rsid w:val="003E2FD4"/>
    <w:rsid w:val="003E3F0E"/>
    <w:rsid w:val="003E49F6"/>
    <w:rsid w:val="003E660F"/>
    <w:rsid w:val="003F0841"/>
    <w:rsid w:val="003F23D3"/>
    <w:rsid w:val="003F3F08"/>
    <w:rsid w:val="003F49F1"/>
    <w:rsid w:val="003F6272"/>
    <w:rsid w:val="00400E72"/>
    <w:rsid w:val="00401400"/>
    <w:rsid w:val="00402BE3"/>
    <w:rsid w:val="00404869"/>
    <w:rsid w:val="00405870"/>
    <w:rsid w:val="00405884"/>
    <w:rsid w:val="00407D39"/>
    <w:rsid w:val="004127E5"/>
    <w:rsid w:val="0041477A"/>
    <w:rsid w:val="004167A3"/>
    <w:rsid w:val="00432DAA"/>
    <w:rsid w:val="00434305"/>
    <w:rsid w:val="00435DF7"/>
    <w:rsid w:val="0044083F"/>
    <w:rsid w:val="00441AE7"/>
    <w:rsid w:val="0044460B"/>
    <w:rsid w:val="00445574"/>
    <w:rsid w:val="004467FB"/>
    <w:rsid w:val="00452D6B"/>
    <w:rsid w:val="00454484"/>
    <w:rsid w:val="0045517B"/>
    <w:rsid w:val="00455444"/>
    <w:rsid w:val="00463B77"/>
    <w:rsid w:val="00463C7B"/>
    <w:rsid w:val="004644A6"/>
    <w:rsid w:val="004659BD"/>
    <w:rsid w:val="00470632"/>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FE7"/>
    <w:rsid w:val="004A63FA"/>
    <w:rsid w:val="004B0272"/>
    <w:rsid w:val="004B2701"/>
    <w:rsid w:val="004B2E1B"/>
    <w:rsid w:val="004B3AA8"/>
    <w:rsid w:val="004B3E93"/>
    <w:rsid w:val="004C1FBC"/>
    <w:rsid w:val="004C3F1D"/>
    <w:rsid w:val="004C41D2"/>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E8C"/>
    <w:rsid w:val="004F391A"/>
    <w:rsid w:val="004F3CFB"/>
    <w:rsid w:val="004F6456"/>
    <w:rsid w:val="004F696E"/>
    <w:rsid w:val="004F6C71"/>
    <w:rsid w:val="00501139"/>
    <w:rsid w:val="0050363E"/>
    <w:rsid w:val="005039BC"/>
    <w:rsid w:val="005043BB"/>
    <w:rsid w:val="00504A3D"/>
    <w:rsid w:val="00505349"/>
    <w:rsid w:val="00505767"/>
    <w:rsid w:val="005073F0"/>
    <w:rsid w:val="00510A7B"/>
    <w:rsid w:val="00512F6E"/>
    <w:rsid w:val="00513038"/>
    <w:rsid w:val="00514174"/>
    <w:rsid w:val="00516088"/>
    <w:rsid w:val="00516B0B"/>
    <w:rsid w:val="005220EC"/>
    <w:rsid w:val="00523F95"/>
    <w:rsid w:val="00524D65"/>
    <w:rsid w:val="00525B16"/>
    <w:rsid w:val="0052727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A71"/>
    <w:rsid w:val="00561475"/>
    <w:rsid w:val="0056487B"/>
    <w:rsid w:val="00564FB9"/>
    <w:rsid w:val="00567989"/>
    <w:rsid w:val="00573D9E"/>
    <w:rsid w:val="005801E3"/>
    <w:rsid w:val="00581802"/>
    <w:rsid w:val="005836A8"/>
    <w:rsid w:val="0058409C"/>
    <w:rsid w:val="00584262"/>
    <w:rsid w:val="00586630"/>
    <w:rsid w:val="00587ADD"/>
    <w:rsid w:val="00591E27"/>
    <w:rsid w:val="00596160"/>
    <w:rsid w:val="00596620"/>
    <w:rsid w:val="005966E2"/>
    <w:rsid w:val="00597007"/>
    <w:rsid w:val="005A0966"/>
    <w:rsid w:val="005A11B7"/>
    <w:rsid w:val="005A260B"/>
    <w:rsid w:val="005A4A1B"/>
    <w:rsid w:val="005A4F0A"/>
    <w:rsid w:val="005A7830"/>
    <w:rsid w:val="005A7FCE"/>
    <w:rsid w:val="005B0F3F"/>
    <w:rsid w:val="005B4903"/>
    <w:rsid w:val="005B5018"/>
    <w:rsid w:val="005B51CE"/>
    <w:rsid w:val="005B5885"/>
    <w:rsid w:val="005B5CD7"/>
    <w:rsid w:val="005B6CF6"/>
    <w:rsid w:val="005B7422"/>
    <w:rsid w:val="005C29B8"/>
    <w:rsid w:val="005C5F21"/>
    <w:rsid w:val="005C6228"/>
    <w:rsid w:val="005C7156"/>
    <w:rsid w:val="005D0C75"/>
    <w:rsid w:val="005D36FF"/>
    <w:rsid w:val="005D4171"/>
    <w:rsid w:val="005D6A95"/>
    <w:rsid w:val="005D6B2C"/>
    <w:rsid w:val="005D6D9C"/>
    <w:rsid w:val="005E2335"/>
    <w:rsid w:val="005E34CA"/>
    <w:rsid w:val="005E3C18"/>
    <w:rsid w:val="005E5EDA"/>
    <w:rsid w:val="005E6812"/>
    <w:rsid w:val="005E7881"/>
    <w:rsid w:val="005E78E0"/>
    <w:rsid w:val="005F0D9C"/>
    <w:rsid w:val="005F2292"/>
    <w:rsid w:val="005F284E"/>
    <w:rsid w:val="005F4712"/>
    <w:rsid w:val="006015CE"/>
    <w:rsid w:val="00602E35"/>
    <w:rsid w:val="00604784"/>
    <w:rsid w:val="00606419"/>
    <w:rsid w:val="00607D29"/>
    <w:rsid w:val="00612952"/>
    <w:rsid w:val="00614CC1"/>
    <w:rsid w:val="00615A9D"/>
    <w:rsid w:val="00617387"/>
    <w:rsid w:val="006205D6"/>
    <w:rsid w:val="006252D8"/>
    <w:rsid w:val="006259BC"/>
    <w:rsid w:val="0062636B"/>
    <w:rsid w:val="006263A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12F"/>
    <w:rsid w:val="00707669"/>
    <w:rsid w:val="00711CBA"/>
    <w:rsid w:val="00711FB5"/>
    <w:rsid w:val="00712A01"/>
    <w:rsid w:val="00714F58"/>
    <w:rsid w:val="00722FBF"/>
    <w:rsid w:val="00722FC2"/>
    <w:rsid w:val="00724879"/>
    <w:rsid w:val="00724E1B"/>
    <w:rsid w:val="00725949"/>
    <w:rsid w:val="00726994"/>
    <w:rsid w:val="00727FA2"/>
    <w:rsid w:val="007322D9"/>
    <w:rsid w:val="00732BC0"/>
    <w:rsid w:val="00735B20"/>
    <w:rsid w:val="0073720F"/>
    <w:rsid w:val="00737796"/>
    <w:rsid w:val="0074165C"/>
    <w:rsid w:val="00742C35"/>
    <w:rsid w:val="007432CA"/>
    <w:rsid w:val="00743893"/>
    <w:rsid w:val="007439EB"/>
    <w:rsid w:val="00743CB4"/>
    <w:rsid w:val="00743F0A"/>
    <w:rsid w:val="007444E8"/>
    <w:rsid w:val="0074548E"/>
    <w:rsid w:val="00745773"/>
    <w:rsid w:val="00746800"/>
    <w:rsid w:val="007501A8"/>
    <w:rsid w:val="00750D61"/>
    <w:rsid w:val="00750EE1"/>
    <w:rsid w:val="00752B4D"/>
    <w:rsid w:val="007551CA"/>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012"/>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410"/>
    <w:rsid w:val="007D06C4"/>
    <w:rsid w:val="007D1352"/>
    <w:rsid w:val="007D2508"/>
    <w:rsid w:val="007D346A"/>
    <w:rsid w:val="007D6518"/>
    <w:rsid w:val="007D76BD"/>
    <w:rsid w:val="007E0BF1"/>
    <w:rsid w:val="007F0BA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66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D6C"/>
    <w:rsid w:val="008E6A84"/>
    <w:rsid w:val="008E709E"/>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5A5"/>
    <w:rsid w:val="00920D80"/>
    <w:rsid w:val="009245F5"/>
    <w:rsid w:val="009249EC"/>
    <w:rsid w:val="009273B3"/>
    <w:rsid w:val="009305B5"/>
    <w:rsid w:val="00930C2E"/>
    <w:rsid w:val="009429D5"/>
    <w:rsid w:val="00942BF1"/>
    <w:rsid w:val="00945180"/>
    <w:rsid w:val="00945428"/>
    <w:rsid w:val="0094607B"/>
    <w:rsid w:val="00953604"/>
    <w:rsid w:val="0095496B"/>
    <w:rsid w:val="009610DC"/>
    <w:rsid w:val="00961490"/>
    <w:rsid w:val="0096381A"/>
    <w:rsid w:val="00965E04"/>
    <w:rsid w:val="009674AD"/>
    <w:rsid w:val="00970CDC"/>
    <w:rsid w:val="00975568"/>
    <w:rsid w:val="00977010"/>
    <w:rsid w:val="00977D02"/>
    <w:rsid w:val="009809BB"/>
    <w:rsid w:val="0098364B"/>
    <w:rsid w:val="009911AF"/>
    <w:rsid w:val="00991875"/>
    <w:rsid w:val="00991F92"/>
    <w:rsid w:val="00992985"/>
    <w:rsid w:val="00993889"/>
    <w:rsid w:val="00994E95"/>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0DD6"/>
    <w:rsid w:val="00A01757"/>
    <w:rsid w:val="00A028C0"/>
    <w:rsid w:val="00A02BAE"/>
    <w:rsid w:val="00A06A6B"/>
    <w:rsid w:val="00A07E47"/>
    <w:rsid w:val="00A129D0"/>
    <w:rsid w:val="00A12C33"/>
    <w:rsid w:val="00A138BA"/>
    <w:rsid w:val="00A14C8E"/>
    <w:rsid w:val="00A153D9"/>
    <w:rsid w:val="00A15F09"/>
    <w:rsid w:val="00A169B6"/>
    <w:rsid w:val="00A21B55"/>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97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267"/>
    <w:rsid w:val="00AB41D5"/>
    <w:rsid w:val="00AB6309"/>
    <w:rsid w:val="00AB6C5F"/>
    <w:rsid w:val="00AB7129"/>
    <w:rsid w:val="00AC27A6"/>
    <w:rsid w:val="00AC30F7"/>
    <w:rsid w:val="00AC3A5A"/>
    <w:rsid w:val="00AC4D95"/>
    <w:rsid w:val="00AC5DF4"/>
    <w:rsid w:val="00AC6E8F"/>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A9E"/>
    <w:rsid w:val="00B07242"/>
    <w:rsid w:val="00B10534"/>
    <w:rsid w:val="00B113DB"/>
    <w:rsid w:val="00B11D8A"/>
    <w:rsid w:val="00B12981"/>
    <w:rsid w:val="00B147DD"/>
    <w:rsid w:val="00B14C9A"/>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22C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34D"/>
    <w:rsid w:val="00C601BC"/>
    <w:rsid w:val="00C6329F"/>
    <w:rsid w:val="00C63340"/>
    <w:rsid w:val="00C643F9"/>
    <w:rsid w:val="00C64E95"/>
    <w:rsid w:val="00C7102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FB4"/>
    <w:rsid w:val="00CC038D"/>
    <w:rsid w:val="00CC08DB"/>
    <w:rsid w:val="00CC396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83D"/>
    <w:rsid w:val="00CE0C4F"/>
    <w:rsid w:val="00CE30EA"/>
    <w:rsid w:val="00CE6D39"/>
    <w:rsid w:val="00CF048A"/>
    <w:rsid w:val="00CF155A"/>
    <w:rsid w:val="00CF2947"/>
    <w:rsid w:val="00CF686F"/>
    <w:rsid w:val="00CF6E60"/>
    <w:rsid w:val="00CF7BCA"/>
    <w:rsid w:val="00D008FD"/>
    <w:rsid w:val="00D0321C"/>
    <w:rsid w:val="00D035EC"/>
    <w:rsid w:val="00D0574E"/>
    <w:rsid w:val="00D06AB1"/>
    <w:rsid w:val="00D072ED"/>
    <w:rsid w:val="00D07A16"/>
    <w:rsid w:val="00D1067E"/>
    <w:rsid w:val="00D10F50"/>
    <w:rsid w:val="00D11272"/>
    <w:rsid w:val="00D11CF0"/>
    <w:rsid w:val="00D126F5"/>
    <w:rsid w:val="00D1489E"/>
    <w:rsid w:val="00D149B3"/>
    <w:rsid w:val="00D16E8F"/>
    <w:rsid w:val="00D20737"/>
    <w:rsid w:val="00D21E81"/>
    <w:rsid w:val="00D223DE"/>
    <w:rsid w:val="00D2590C"/>
    <w:rsid w:val="00D25E37"/>
    <w:rsid w:val="00D2661A"/>
    <w:rsid w:val="00D27582"/>
    <w:rsid w:val="00D27EC4"/>
    <w:rsid w:val="00D31C1D"/>
    <w:rsid w:val="00D32719"/>
    <w:rsid w:val="00D33333"/>
    <w:rsid w:val="00D33457"/>
    <w:rsid w:val="00D352A2"/>
    <w:rsid w:val="00D4162B"/>
    <w:rsid w:val="00D4514F"/>
    <w:rsid w:val="00D451E2"/>
    <w:rsid w:val="00D45E89"/>
    <w:rsid w:val="00D45E8D"/>
    <w:rsid w:val="00D466AE"/>
    <w:rsid w:val="00D4734F"/>
    <w:rsid w:val="00D51BF3"/>
    <w:rsid w:val="00D62233"/>
    <w:rsid w:val="00D66846"/>
    <w:rsid w:val="00D66FF0"/>
    <w:rsid w:val="00D675FB"/>
    <w:rsid w:val="00D71F25"/>
    <w:rsid w:val="00D72A9C"/>
    <w:rsid w:val="00D733CD"/>
    <w:rsid w:val="00D77031"/>
    <w:rsid w:val="00D77DC5"/>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4F"/>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C99"/>
    <w:rsid w:val="00E01138"/>
    <w:rsid w:val="00E012F5"/>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445"/>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DD8"/>
    <w:rsid w:val="00E77A03"/>
    <w:rsid w:val="00E822E8"/>
    <w:rsid w:val="00E82554"/>
    <w:rsid w:val="00E82606"/>
    <w:rsid w:val="00E846C8"/>
    <w:rsid w:val="00E84957"/>
    <w:rsid w:val="00E84A55"/>
    <w:rsid w:val="00E84E1E"/>
    <w:rsid w:val="00E85BFF"/>
    <w:rsid w:val="00E90391"/>
    <w:rsid w:val="00E906C2"/>
    <w:rsid w:val="00E9311F"/>
    <w:rsid w:val="00E934D1"/>
    <w:rsid w:val="00E94AF0"/>
    <w:rsid w:val="00E95D13"/>
    <w:rsid w:val="00E95DD3"/>
    <w:rsid w:val="00E969D5"/>
    <w:rsid w:val="00E96B21"/>
    <w:rsid w:val="00EA29BB"/>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4BE"/>
    <w:rsid w:val="00EE0350"/>
    <w:rsid w:val="00EE0719"/>
    <w:rsid w:val="00EE0E80"/>
    <w:rsid w:val="00EE33CF"/>
    <w:rsid w:val="00EE54A6"/>
    <w:rsid w:val="00EE5C83"/>
    <w:rsid w:val="00EE613F"/>
    <w:rsid w:val="00EE7295"/>
    <w:rsid w:val="00EE7869"/>
    <w:rsid w:val="00EF054A"/>
    <w:rsid w:val="00EF3235"/>
    <w:rsid w:val="00EF7E72"/>
    <w:rsid w:val="00F040FE"/>
    <w:rsid w:val="00F06D37"/>
    <w:rsid w:val="00F07B9D"/>
    <w:rsid w:val="00F11586"/>
    <w:rsid w:val="00F1183B"/>
    <w:rsid w:val="00F11C9F"/>
    <w:rsid w:val="00F12263"/>
    <w:rsid w:val="00F1409D"/>
    <w:rsid w:val="00F14214"/>
    <w:rsid w:val="00F157A9"/>
    <w:rsid w:val="00F25BB6"/>
    <w:rsid w:val="00F26B7E"/>
    <w:rsid w:val="00F27A3B"/>
    <w:rsid w:val="00F3038B"/>
    <w:rsid w:val="00F33817"/>
    <w:rsid w:val="00F34F27"/>
    <w:rsid w:val="00F41256"/>
    <w:rsid w:val="00F420D5"/>
    <w:rsid w:val="00F451EA"/>
    <w:rsid w:val="00F45447"/>
    <w:rsid w:val="00F456C6"/>
    <w:rsid w:val="00F4577B"/>
    <w:rsid w:val="00F46496"/>
    <w:rsid w:val="00F474D0"/>
    <w:rsid w:val="00F50179"/>
    <w:rsid w:val="00F50938"/>
    <w:rsid w:val="00F515EE"/>
    <w:rsid w:val="00F52A3C"/>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E64"/>
    <w:rsid w:val="00FD2A7C"/>
    <w:rsid w:val="00FD59EB"/>
    <w:rsid w:val="00FD5E70"/>
    <w:rsid w:val="00FD7299"/>
    <w:rsid w:val="00FE1FBE"/>
    <w:rsid w:val="00FE3901"/>
    <w:rsid w:val="00FE39D3"/>
    <w:rsid w:val="00FE4BCE"/>
    <w:rsid w:val="00FE54AE"/>
    <w:rsid w:val="00FE576A"/>
    <w:rsid w:val="00FE7E79"/>
    <w:rsid w:val="00FF3E7D"/>
    <w:rsid w:val="00FF5B99"/>
    <w:rsid w:val="00FF730C"/>
    <w:rsid w:val="00FF73F4"/>
    <w:rsid w:val="00FF7CE4"/>
    <w:rsid w:val="00FF7E39"/>
    <w:rsid w:val="01B949E4"/>
    <w:rsid w:val="07414C7E"/>
    <w:rsid w:val="097D1818"/>
    <w:rsid w:val="09E13DD4"/>
    <w:rsid w:val="0ACF0C60"/>
    <w:rsid w:val="0C382636"/>
    <w:rsid w:val="0E3608C4"/>
    <w:rsid w:val="110A4333"/>
    <w:rsid w:val="11C91610"/>
    <w:rsid w:val="14C57017"/>
    <w:rsid w:val="1500245D"/>
    <w:rsid w:val="184374E6"/>
    <w:rsid w:val="1A7C541F"/>
    <w:rsid w:val="1B8003C8"/>
    <w:rsid w:val="1EE83963"/>
    <w:rsid w:val="1FEC75C7"/>
    <w:rsid w:val="21B46321"/>
    <w:rsid w:val="224E673F"/>
    <w:rsid w:val="231164DD"/>
    <w:rsid w:val="261D6B1E"/>
    <w:rsid w:val="28357271"/>
    <w:rsid w:val="298553F2"/>
    <w:rsid w:val="2ACF40F1"/>
    <w:rsid w:val="2C2F0BF9"/>
    <w:rsid w:val="2D931E0B"/>
    <w:rsid w:val="2FDA5341"/>
    <w:rsid w:val="34420D79"/>
    <w:rsid w:val="3530624F"/>
    <w:rsid w:val="39B53A46"/>
    <w:rsid w:val="3BFB6033"/>
    <w:rsid w:val="3C2B3679"/>
    <w:rsid w:val="412D604A"/>
    <w:rsid w:val="44150B3E"/>
    <w:rsid w:val="48E25F7F"/>
    <w:rsid w:val="48F63D28"/>
    <w:rsid w:val="4A6873F9"/>
    <w:rsid w:val="4AE07CFB"/>
    <w:rsid w:val="4BD518E8"/>
    <w:rsid w:val="4C0B6433"/>
    <w:rsid w:val="4C204A34"/>
    <w:rsid w:val="4CAD5597"/>
    <w:rsid w:val="501A3856"/>
    <w:rsid w:val="50BB0282"/>
    <w:rsid w:val="5133250E"/>
    <w:rsid w:val="51956D25"/>
    <w:rsid w:val="51BF590F"/>
    <w:rsid w:val="520B348B"/>
    <w:rsid w:val="538B6BA1"/>
    <w:rsid w:val="56111251"/>
    <w:rsid w:val="58170227"/>
    <w:rsid w:val="5AB67202"/>
    <w:rsid w:val="5BFF4A92"/>
    <w:rsid w:val="5C2F3C8D"/>
    <w:rsid w:val="5DE70B20"/>
    <w:rsid w:val="5F80272D"/>
    <w:rsid w:val="5FF732A1"/>
    <w:rsid w:val="607E236F"/>
    <w:rsid w:val="62357B32"/>
    <w:rsid w:val="628E0429"/>
    <w:rsid w:val="62D177F2"/>
    <w:rsid w:val="65082AE7"/>
    <w:rsid w:val="67713939"/>
    <w:rsid w:val="67C117FD"/>
    <w:rsid w:val="6F041378"/>
    <w:rsid w:val="6F9C351D"/>
    <w:rsid w:val="70C7054C"/>
    <w:rsid w:val="71567E29"/>
    <w:rsid w:val="72F03CBB"/>
    <w:rsid w:val="75F638FF"/>
    <w:rsid w:val="76816FC9"/>
    <w:rsid w:val="76EA1627"/>
    <w:rsid w:val="77DE7874"/>
    <w:rsid w:val="78792D38"/>
    <w:rsid w:val="7B7D2454"/>
    <w:rsid w:val="7BC06A44"/>
    <w:rsid w:val="7E154748"/>
    <w:rsid w:val="7E233EEF"/>
    <w:rsid w:val="7F8F27D8"/>
    <w:rsid w:val="AFFA8B8C"/>
    <w:rsid w:val="B77FF2CB"/>
    <w:rsid w:val="D6B697FD"/>
    <w:rsid w:val="EAF38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ind w:left="0"/>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paragraph" w:customStyle="1" w:styleId="232">
    <w:name w:val="段"/>
    <w:link w:val="23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3">
    <w:name w:val="三级条标题"/>
    <w:basedOn w:val="1"/>
    <w:next w:val="232"/>
    <w:qFormat/>
    <w:uiPriority w:val="0"/>
    <w:pPr>
      <w:widowControl/>
      <w:adjustRightInd/>
      <w:spacing w:line="240" w:lineRule="auto"/>
      <w:jc w:val="left"/>
      <w:outlineLvl w:val="4"/>
    </w:pPr>
    <w:rPr>
      <w:rFonts w:ascii="Times New Roman" w:hAnsi="Times New Roman" w:eastAsia="黑体"/>
      <w:kern w:val="0"/>
      <w:szCs w:val="20"/>
    </w:rPr>
  </w:style>
  <w:style w:type="paragraph" w:customStyle="1" w:styleId="234">
    <w:name w:val="正文表标题"/>
    <w:next w:val="232"/>
    <w:qFormat/>
    <w:uiPriority w:val="0"/>
    <w:pPr>
      <w:jc w:val="center"/>
    </w:pPr>
    <w:rPr>
      <w:rFonts w:ascii="黑体" w:hAnsi="Times New Roman" w:eastAsia="黑体" w:cs="Times New Roman"/>
      <w:sz w:val="21"/>
      <w:lang w:val="en-US" w:eastAsia="zh-CN" w:bidi="ar-SA"/>
    </w:rPr>
  </w:style>
  <w:style w:type="character" w:customStyle="1" w:styleId="235">
    <w:name w:val="段 Char"/>
    <w:link w:val="232"/>
    <w:qFormat/>
    <w:uiPriority w:val="0"/>
    <w:rPr>
      <w:rFonts w:ascii="宋体" w:hAnsi="Times New Roman"/>
      <w:sz w:val="21"/>
    </w:rPr>
  </w:style>
  <w:style w:type="paragraph" w:customStyle="1" w:styleId="236">
    <w:name w:val="二级无"/>
    <w:basedOn w:val="1"/>
    <w:qFormat/>
    <w:uiPriority w:val="0"/>
    <w:pPr>
      <w:widowControl/>
      <w:tabs>
        <w:tab w:val="left" w:pos="2258"/>
      </w:tabs>
      <w:adjustRightInd/>
      <w:spacing w:line="240" w:lineRule="auto"/>
      <w:ind w:hanging="420"/>
      <w:jc w:val="left"/>
      <w:outlineLvl w:val="3"/>
    </w:pPr>
    <w:rPr>
      <w:rFonts w:ascii="宋体" w:hAnsi="Times New Roman"/>
      <w:kern w:val="0"/>
    </w:rPr>
  </w:style>
  <w:style w:type="paragraph" w:customStyle="1" w:styleId="237">
    <w:name w:val="三级无"/>
    <w:basedOn w:val="233"/>
    <w:qFormat/>
    <w:uiPriority w:val="0"/>
    <w:pPr>
      <w:tabs>
        <w:tab w:val="left" w:pos="2678"/>
      </w:tabs>
      <w:ind w:hanging="420"/>
    </w:pPr>
    <w:rPr>
      <w:rFonts w:ascii="宋体" w:eastAsia="宋体"/>
      <w:szCs w:val="21"/>
    </w:rPr>
  </w:style>
  <w:style w:type="paragraph" w:customStyle="1" w:styleId="238">
    <w:name w:val="四级无"/>
    <w:basedOn w:val="1"/>
    <w:qFormat/>
    <w:uiPriority w:val="0"/>
    <w:pPr>
      <w:widowControl/>
      <w:tabs>
        <w:tab w:val="left" w:pos="3098"/>
      </w:tabs>
      <w:adjustRightInd/>
      <w:spacing w:line="240" w:lineRule="auto"/>
      <w:ind w:left="3098" w:hanging="420"/>
      <w:jc w:val="left"/>
      <w:outlineLvl w:val="5"/>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78F85D109E49718D4A13AA8DA9F120"/>
        <w:style w:val=""/>
        <w:category>
          <w:name w:val="常规"/>
          <w:gallery w:val="placeholder"/>
        </w:category>
        <w:types>
          <w:type w:val="bbPlcHdr"/>
        </w:types>
        <w:behaviors>
          <w:behavior w:val="content"/>
        </w:behaviors>
        <w:description w:val=""/>
        <w:guid w:val="{E02CCC9B-F875-4085-9F97-6CEFEDF94567}"/>
      </w:docPartPr>
      <w:docPartBody>
        <w:p w14:paraId="09D019D5">
          <w:pPr>
            <w:pStyle w:val="5"/>
          </w:pPr>
          <w:r>
            <w:rPr>
              <w:rStyle w:val="4"/>
              <w:rFonts w:hint="eastAsia"/>
            </w:rPr>
            <w:t>单击或点击此处输入文字。</w:t>
          </w:r>
        </w:p>
      </w:docPartBody>
    </w:docPart>
    <w:docPart>
      <w:docPartPr>
        <w:name w:val="{31140141-0fbd-4eab-ae06-9a5b0f6bf0f0}"/>
        <w:style w:val=""/>
        <w:category>
          <w:name w:val="常规"/>
          <w:gallery w:val="placeholder"/>
        </w:category>
        <w:types>
          <w:type w:val="bbPlcHdr"/>
        </w:types>
        <w:behaviors>
          <w:behavior w:val="content"/>
        </w:behaviors>
        <w:description w:val=""/>
        <w:guid w:val="{31140141-0FBD-4EAB-AE06-9A5B0F6BF0F0}"/>
      </w:docPartPr>
      <w:docPartBody>
        <w:p w14:paraId="38205FE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F1041"/>
    <w:rsid w:val="0011210B"/>
    <w:rsid w:val="001336C8"/>
    <w:rsid w:val="001E370C"/>
    <w:rsid w:val="00286872"/>
    <w:rsid w:val="00292586"/>
    <w:rsid w:val="00393233"/>
    <w:rsid w:val="003D656C"/>
    <w:rsid w:val="003D7AA2"/>
    <w:rsid w:val="004014D8"/>
    <w:rsid w:val="00430831"/>
    <w:rsid w:val="00456AE5"/>
    <w:rsid w:val="00580157"/>
    <w:rsid w:val="00643905"/>
    <w:rsid w:val="007018B9"/>
    <w:rsid w:val="008B7B70"/>
    <w:rsid w:val="00905FEE"/>
    <w:rsid w:val="00A43B9E"/>
    <w:rsid w:val="00AC31E9"/>
    <w:rsid w:val="00B506AD"/>
    <w:rsid w:val="00B64465"/>
    <w:rsid w:val="00BF1041"/>
    <w:rsid w:val="00D319C0"/>
    <w:rsid w:val="00D84C9D"/>
    <w:rsid w:val="00F47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478F85D109E49718D4A13AA8DA9F1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05E91705954559811833CC3AF9C2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3B1F763CB5E452E9D2D21A763918B6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2243</Words>
  <Characters>2550</Characters>
  <Lines>36</Lines>
  <Paragraphs>10</Paragraphs>
  <TotalTime>4</TotalTime>
  <ScaleCrop>false</ScaleCrop>
  <LinksUpToDate>false</LinksUpToDate>
  <CharactersWithSpaces>2743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2021-08-29T03:37:00Z</dcterms:created>
  <dc:creator>lenovo</dc:creator>
  <dc:description>&lt;config cover="true" show_menu="true" version="1.0.0" doctype="SDKXY"&gt;_x000d_
&lt;/config&gt;</dc:description>
  <cp:lastModifiedBy>WPS_1699659144</cp:lastModifiedBy>
  <cp:lastPrinted>2021-12-30T07:54:00Z</cp:lastPrinted>
  <dcterms:modified xsi:type="dcterms:W3CDTF">2025-06-06T03:48:28Z</dcterms:modified>
  <dc:title>地方标准</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13CD064969314D07AD97EAC9DC8C2424_13</vt:lpwstr>
  </property>
  <property fmtid="{D5CDD505-2E9C-101B-9397-08002B2CF9AE}" pid="16" name="KSOTemplateDocerSaveRecord">
    <vt:lpwstr>eyJoZGlkIjoiN2U1YmUxZTI1Y2RmMDUwNGU3YzY2NzE3ZGRlOWM3YzIiLCJ1c2VySWQiOiIxNTU2NTc3Nzc2In0=</vt:lpwstr>
  </property>
</Properties>
</file>