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5"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4113</w:t>
            </w:r>
            <w:r>
              <w:fldChar w:fldCharType="end"/>
            </w:r>
            <w:bookmarkEnd w:id="3"/>
          </w:p>
        </w:tc>
      </w:tr>
    </w:tbl>
    <w:p>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rFonts w:hint="default" w:eastAsia="黑体"/>
          <w:lang w:val="en-US" w:eastAsia="zh-CN"/>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4113/T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rPr>
          <w:rFonts w:hint="eastAsia" w:hAnsi="黑体"/>
          <w:lang w:val="en-US" w:eastAsia="zh-CN"/>
        </w:rPr>
        <w:t>2025</w:t>
      </w:r>
    </w:p>
    <w:p>
      <w:pPr>
        <w:pStyle w:val="196"/>
        <w:rPr>
          <w:rFonts w:hAnsi="黑体"/>
        </w:rPr>
      </w:pPr>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50"/>
        <w:framePr w:w="9639" w:h="6976" w:hRule="exact" w:hSpace="0" w:vSpace="0" w:hAnchor="page" w:y="6408"/>
        <w:jc w:val="center"/>
        <w:rPr>
          <w:rFonts w:ascii="黑体" w:hAnsi="黑体" w:eastAsia="黑体"/>
          <w:b w:val="0"/>
          <w:bCs w:val="0"/>
          <w:w w:val="100"/>
        </w:rPr>
      </w:pPr>
    </w:p>
    <w:p>
      <w:pPr>
        <w:pStyle w:val="197"/>
        <w:framePr w:h="6974" w:hRule="exact" w:wrap="around" w:x="1419" w:anchorLock="1"/>
      </w:pPr>
      <w:bookmarkStart w:id="7" w:name="CSTD_NAME"/>
      <w:r>
        <w:rPr>
          <w:rFonts w:ascii="黑体" w:hAnsi="黑体" w:eastAsia="黑体" w:cs="Times New Roman"/>
          <w:bCs/>
          <w:sz w:val="52"/>
          <w:lang w:val="en-US" w:eastAsia="zh-CN" w:bidi="ar-SA"/>
        </w:rPr>
        <w:fldChar w:fldCharType="begin">
          <w:ffData>
            <w:name w:val="CSTD_NAME"/>
            <w:enabled/>
            <w:calcOnExit w:val="0"/>
            <w:textInput>
              <w:default w:val="经方阁建设规范"/>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经方阁建设规范</w:t>
      </w:r>
      <w:r>
        <w:rPr>
          <w:rFonts w:ascii="黑体" w:hAnsi="黑体" w:eastAsia="黑体" w:cs="Times New Roman"/>
          <w:bCs/>
          <w:sz w:val="52"/>
          <w:lang w:val="en-US" w:eastAsia="zh-CN" w:bidi="ar-SA"/>
        </w:rPr>
        <w:fldChar w:fldCharType="end"/>
      </w:r>
      <w:bookmarkEnd w:id="7"/>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sz w:val="24"/>
          <w:szCs w:val="28"/>
        </w:rPr>
        <w:instrText xml:space="preserve"> FORMDROPDOWN </w:instrText>
      </w:r>
      <w:r>
        <w:rPr>
          <w:sz w:val="24"/>
          <w:szCs w:val="28"/>
        </w:rPr>
        <w:fldChar w:fldCharType="separate"/>
      </w:r>
      <w:r>
        <w:rPr>
          <w:sz w:val="24"/>
          <w:szCs w:val="28"/>
        </w:rPr>
        <w:fldChar w:fldCharType="end"/>
      </w:r>
      <w:bookmarkEnd w:id="8"/>
    </w:p>
    <w:p>
      <w:pPr>
        <w:pStyle w:val="125"/>
        <w:framePr w:w="9639" w:h="6974" w:hRule="exact" w:wrap="around" w:vAnchor="page" w:hAnchor="page" w:x="1419" w:y="6408" w:anchorLock="1"/>
        <w:spacing w:before="180" w:line="240" w:lineRule="atLeast"/>
        <w:textAlignment w:val="bottom"/>
        <w:rPr>
          <w:sz w:val="21"/>
          <w:szCs w:val="28"/>
        </w:rPr>
      </w:pPr>
    </w:p>
    <w:p>
      <w:pPr>
        <w:pStyle w:val="125"/>
        <w:framePr w:w="9639" w:h="6974" w:hRule="exact" w:wrap="around" w:vAnchor="page" w:hAnchor="page" w:x="1419" w:y="6408" w:anchorLock="1"/>
        <w:spacing w:before="720" w:beforeLines="300" w:after="72" w:afterLines="30" w:line="240" w:lineRule="auto"/>
        <w:textAlignment w:val="bottom"/>
        <w:rPr>
          <w:b/>
          <w:sz w:val="21"/>
          <w:szCs w:val="28"/>
        </w:rPr>
      </w:pPr>
    </w:p>
    <w:p>
      <w:pPr>
        <w:pStyle w:val="193"/>
        <w:framePr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15"/>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sdt>
      <w:sdtPr>
        <w:rPr>
          <w:rFonts w:hint="eastAsia" w:ascii="方正黑体_GBK" w:hAnsi="方正黑体_GBK" w:eastAsia="方正黑体_GBK" w:cs="方正黑体_GBK"/>
          <w:kern w:val="2"/>
          <w:sz w:val="28"/>
          <w:szCs w:val="28"/>
          <w:lang w:val="en-US" w:eastAsia="zh-CN" w:bidi="ar-SA"/>
        </w:rPr>
        <w:id w:val="116942465"/>
        <w:docPartObj>
          <w:docPartGallery w:val="Table of Contents"/>
          <w:docPartUnique/>
        </w:docPartObj>
      </w:sdtPr>
      <w:sdtEndPr>
        <w:rPr>
          <w:sz w:val="20"/>
          <w:szCs w:val="20"/>
        </w:rPr>
      </w:sdtEndPr>
      <w:sdtContent>
        <w:p>
          <w:pPr>
            <w:spacing w:before="0" w:beforeLines="0" w:after="0" w:afterLines="0" w:line="240" w:lineRule="auto"/>
            <w:ind w:left="0" w:leftChars="0" w:right="0" w:rightChars="0" w:firstLine="0" w:firstLineChars="0"/>
            <w:jc w:val="center"/>
            <w:rPr>
              <w:rFonts w:hint="eastAsia" w:ascii="方正黑体_GBK" w:hAnsi="方正黑体_GBK" w:eastAsia="方正黑体_GBK" w:cs="方正黑体_GBK"/>
              <w:sz w:val="28"/>
              <w:szCs w:val="28"/>
              <w:lang w:eastAsia="zh-CN"/>
            </w:rPr>
          </w:pPr>
          <w:bookmarkStart w:id="16" w:name="BookMark2"/>
          <w:bookmarkStart w:id="17" w:name="_Toc1886634332_WPSOffice_Type1"/>
          <w:r>
            <w:rPr>
              <w:rFonts w:hint="eastAsia" w:ascii="方正黑体_GBK" w:hAnsi="方正黑体_GBK" w:eastAsia="方正黑体_GBK" w:cs="方正黑体_GBK"/>
              <w:sz w:val="28"/>
              <w:szCs w:val="28"/>
              <w:lang w:eastAsia="zh-CN"/>
            </w:rPr>
            <w:t>目</w:t>
          </w:r>
          <w:r>
            <w:rPr>
              <w:rFonts w:hint="eastAsia" w:ascii="方正黑体_GBK" w:hAnsi="方正黑体_GBK" w:eastAsia="方正黑体_GBK" w:cs="方正黑体_GBK"/>
              <w:sz w:val="28"/>
              <w:szCs w:val="28"/>
              <w:lang w:val="en-US" w:eastAsia="zh-CN"/>
            </w:rPr>
            <w:t xml:space="preserve">  </w:t>
          </w:r>
          <w:r>
            <w:rPr>
              <w:rFonts w:hint="eastAsia" w:ascii="方正黑体_GBK" w:hAnsi="方正黑体_GBK" w:eastAsia="方正黑体_GBK" w:cs="方正黑体_GBK"/>
              <w:sz w:val="28"/>
              <w:szCs w:val="28"/>
              <w:lang w:eastAsia="zh-CN"/>
            </w:rPr>
            <w:t>次</w:t>
          </w:r>
        </w:p>
        <w:p>
          <w:pPr>
            <w:pStyle w:val="230"/>
            <w:tabs>
              <w:tab w:val="right" w:leader="dot" w:pos="9354"/>
            </w:tabs>
          </w:pPr>
          <w:r>
            <w:fldChar w:fldCharType="begin"/>
          </w:r>
          <w:r>
            <w:instrText xml:space="preserve"> HYPERLINK \l _Toc765038034_WPSOffice_Level1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ab66dce2-5ea3-4405-a0ce-5f0bf66e930b}"/>
              </w:placeholder>
            </w:sdtPr>
            <w:sdtEndPr>
              <w:rPr>
                <w:rFonts w:ascii="Calibri" w:hAnsi="Calibri" w:eastAsia="宋体" w:cs="Times New Roman"/>
                <w:kern w:val="2"/>
                <w:sz w:val="21"/>
                <w:szCs w:val="21"/>
                <w:lang w:val="en-US" w:eastAsia="zh-CN" w:bidi="ar-SA"/>
              </w:rPr>
            </w:sdtEndPr>
            <w:sdtContent>
              <w:r>
                <w:rPr>
                  <w:rFonts w:ascii="黑体" w:hAnsi="Times New Roman" w:eastAsia="黑体" w:cs="Times New Roman"/>
                </w:rPr>
                <w:t>前言</w:t>
              </w:r>
            </w:sdtContent>
          </w:sdt>
          <w:r>
            <w:tab/>
          </w:r>
          <w:bookmarkStart w:id="18" w:name="_Toc765038034_WPSOffice_Level1Page"/>
          <w:r>
            <w:t>2</w:t>
          </w:r>
          <w:bookmarkEnd w:id="18"/>
          <w:r>
            <w:fldChar w:fldCharType="end"/>
          </w:r>
        </w:p>
        <w:p>
          <w:pPr>
            <w:pStyle w:val="230"/>
            <w:tabs>
              <w:tab w:val="right" w:leader="dot" w:pos="9354"/>
            </w:tabs>
          </w:pPr>
          <w:r>
            <w:fldChar w:fldCharType="begin"/>
          </w:r>
          <w:r>
            <w:instrText xml:space="preserve"> HYPERLINK \l _Toc1886634332_WPSOffice_Level1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cce4f5e1-46d3-4a0e-b695-e2b6f18d39da}"/>
              </w:placeholder>
            </w:sdtPr>
            <w:sdtEndPr>
              <w:rPr>
                <w:rFonts w:ascii="Calibri" w:hAnsi="Calibri" w:eastAsia="宋体" w:cs="Times New Roman"/>
                <w:kern w:val="2"/>
                <w:sz w:val="21"/>
                <w:szCs w:val="21"/>
                <w:lang w:val="en-US" w:eastAsia="zh-CN" w:bidi="ar-SA"/>
              </w:rPr>
            </w:sdtEndPr>
            <w:sdtContent>
              <w:r>
                <w:rPr>
                  <w:rFonts w:hint="eastAsia" w:ascii="黑体" w:hAnsi="黑体" w:eastAsia="黑体" w:cs="Times New Roman"/>
                </w:rPr>
                <w:t>经方阁建设规范</w:t>
              </w:r>
            </w:sdtContent>
          </w:sdt>
          <w:r>
            <w:tab/>
          </w:r>
          <w:bookmarkStart w:id="19" w:name="_Toc1886634332_WPSOffice_Level1Page"/>
          <w:r>
            <w:t>1</w:t>
          </w:r>
          <w:bookmarkEnd w:id="19"/>
          <w:r>
            <w:fldChar w:fldCharType="end"/>
          </w:r>
        </w:p>
        <w:p>
          <w:pPr>
            <w:pStyle w:val="230"/>
            <w:tabs>
              <w:tab w:val="right" w:leader="dot" w:pos="9354"/>
            </w:tabs>
          </w:pPr>
          <w:r>
            <w:fldChar w:fldCharType="begin"/>
          </w:r>
          <w:r>
            <w:instrText xml:space="preserve"> HYPERLINK \l _Toc573519479_WPSOffice_Level1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59030de8-4f0b-4206-b44b-36040ad108b5}"/>
              </w:placeholder>
            </w:sdtPr>
            <w:sdtEndPr>
              <w:rPr>
                <w:rFonts w:ascii="Calibri" w:hAnsi="Calibri" w:eastAsia="宋体" w:cs="Times New Roman"/>
                <w:kern w:val="2"/>
                <w:sz w:val="21"/>
                <w:szCs w:val="21"/>
                <w:lang w:val="en-US" w:eastAsia="zh-CN" w:bidi="ar-SA"/>
              </w:rPr>
            </w:sdtEndPr>
            <w:sdtContent>
              <w:r>
                <w:rPr>
                  <w:rFonts w:hint="eastAsia" w:ascii="黑体" w:hAnsi="Times New Roman" w:eastAsia="黑体" w:cs="Times New Roman"/>
                </w:rPr>
                <w:t>1 范围</w:t>
              </w:r>
            </w:sdtContent>
          </w:sdt>
          <w:r>
            <w:tab/>
          </w:r>
          <w:bookmarkStart w:id="20" w:name="_Toc573519479_WPSOffice_Level1Page"/>
          <w:r>
            <w:t>1</w:t>
          </w:r>
          <w:bookmarkEnd w:id="20"/>
          <w:r>
            <w:fldChar w:fldCharType="end"/>
          </w:r>
        </w:p>
        <w:p>
          <w:pPr>
            <w:pStyle w:val="230"/>
            <w:tabs>
              <w:tab w:val="right" w:leader="dot" w:pos="9354"/>
            </w:tabs>
          </w:pPr>
          <w:r>
            <w:fldChar w:fldCharType="begin"/>
          </w:r>
          <w:r>
            <w:instrText xml:space="preserve"> HYPERLINK \l _Toc410629512_WPSOffice_Level1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1990b387-698d-48f4-8705-c80a2b03beb0}"/>
              </w:placeholder>
            </w:sdtPr>
            <w:sdtEndPr>
              <w:rPr>
                <w:rFonts w:ascii="Calibri" w:hAnsi="Calibri" w:eastAsia="宋体" w:cs="Times New Roman"/>
                <w:kern w:val="2"/>
                <w:sz w:val="21"/>
                <w:szCs w:val="21"/>
                <w:lang w:val="en-US" w:eastAsia="zh-CN" w:bidi="ar-SA"/>
              </w:rPr>
            </w:sdtEndPr>
            <w:sdtContent>
              <w:r>
                <w:rPr>
                  <w:rFonts w:hint="eastAsia" w:ascii="黑体" w:hAnsi="Times New Roman" w:eastAsia="黑体" w:cs="Times New Roman"/>
                </w:rPr>
                <w:t>2 规范性引用文件</w:t>
              </w:r>
            </w:sdtContent>
          </w:sdt>
          <w:r>
            <w:tab/>
          </w:r>
          <w:bookmarkStart w:id="21" w:name="_Toc410629512_WPSOffice_Level1Page"/>
          <w:r>
            <w:t>1</w:t>
          </w:r>
          <w:bookmarkEnd w:id="21"/>
          <w:r>
            <w:fldChar w:fldCharType="end"/>
          </w:r>
        </w:p>
        <w:p>
          <w:pPr>
            <w:pStyle w:val="230"/>
            <w:tabs>
              <w:tab w:val="right" w:leader="dot" w:pos="9354"/>
            </w:tabs>
          </w:pPr>
          <w:r>
            <w:fldChar w:fldCharType="begin"/>
          </w:r>
          <w:r>
            <w:instrText xml:space="preserve"> HYPERLINK \l _Toc1786209755_WPSOffice_Level1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079235f3-5beb-4510-92cc-440694018819}"/>
              </w:placeholder>
            </w:sdtPr>
            <w:sdtEndPr>
              <w:rPr>
                <w:rFonts w:ascii="Calibri" w:hAnsi="Calibri" w:eastAsia="宋体" w:cs="Times New Roman"/>
                <w:kern w:val="2"/>
                <w:sz w:val="21"/>
                <w:szCs w:val="21"/>
                <w:lang w:val="en-US" w:eastAsia="zh-CN" w:bidi="ar-SA"/>
              </w:rPr>
            </w:sdtEndPr>
            <w:sdtContent>
              <w:r>
                <w:rPr>
                  <w:rFonts w:hint="eastAsia" w:ascii="黑体" w:hAnsi="Times New Roman" w:eastAsia="黑体" w:cs="Times New Roman"/>
                </w:rPr>
                <w:t>3 术语和定义</w:t>
              </w:r>
            </w:sdtContent>
          </w:sdt>
          <w:r>
            <w:tab/>
          </w:r>
          <w:bookmarkStart w:id="22" w:name="_Toc1786209755_WPSOffice_Level1Page"/>
          <w:r>
            <w:t>1</w:t>
          </w:r>
          <w:bookmarkEnd w:id="22"/>
          <w:r>
            <w:fldChar w:fldCharType="end"/>
          </w:r>
        </w:p>
        <w:p>
          <w:pPr>
            <w:pStyle w:val="230"/>
            <w:tabs>
              <w:tab w:val="right" w:leader="dot" w:pos="9354"/>
            </w:tabs>
          </w:pPr>
          <w:r>
            <w:fldChar w:fldCharType="begin"/>
          </w:r>
          <w:r>
            <w:instrText xml:space="preserve"> HYPERLINK \l _Toc1034071629_WPSOffice_Level1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8e8a4e96-bbf8-46e2-a9f7-8fcb536e02c6}"/>
              </w:placeholder>
            </w:sdtPr>
            <w:sdtEndPr>
              <w:rPr>
                <w:rFonts w:ascii="Calibri" w:hAnsi="Calibri" w:eastAsia="宋体" w:cs="Times New Roman"/>
                <w:kern w:val="2"/>
                <w:sz w:val="21"/>
                <w:szCs w:val="21"/>
                <w:lang w:val="en-US" w:eastAsia="zh-CN" w:bidi="ar-SA"/>
              </w:rPr>
            </w:sdtEndPr>
            <w:sdtContent>
              <w:r>
                <w:rPr>
                  <w:rFonts w:hint="eastAsia" w:ascii="黑体" w:hAnsi="Times New Roman" w:eastAsia="黑体" w:cs="Times New Roman"/>
                </w:rPr>
                <w:t>4 建设原则与定位</w:t>
              </w:r>
            </w:sdtContent>
          </w:sdt>
          <w:r>
            <w:tab/>
          </w:r>
          <w:bookmarkStart w:id="23" w:name="_Toc1034071629_WPSOffice_Level1Page"/>
          <w:r>
            <w:t>1</w:t>
          </w:r>
          <w:bookmarkEnd w:id="23"/>
          <w:r>
            <w:fldChar w:fldCharType="end"/>
          </w:r>
        </w:p>
        <w:p>
          <w:pPr>
            <w:pStyle w:val="230"/>
            <w:tabs>
              <w:tab w:val="right" w:leader="dot" w:pos="9354"/>
            </w:tabs>
          </w:pPr>
          <w:r>
            <w:fldChar w:fldCharType="begin"/>
          </w:r>
          <w:r>
            <w:instrText xml:space="preserve"> HYPERLINK \l _Toc460472893_WPSOffice_Level1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e2f4a1a8-5394-4406-be8b-317b48fa7065}"/>
              </w:placeholder>
            </w:sdtPr>
            <w:sdtEndPr>
              <w:rPr>
                <w:rFonts w:ascii="Calibri" w:hAnsi="Calibri" w:eastAsia="宋体" w:cs="Times New Roman"/>
                <w:kern w:val="2"/>
                <w:sz w:val="21"/>
                <w:szCs w:val="21"/>
                <w:lang w:val="en-US" w:eastAsia="zh-CN" w:bidi="ar-SA"/>
              </w:rPr>
            </w:sdtEndPr>
            <w:sdtContent>
              <w:r>
                <w:rPr>
                  <w:rFonts w:hint="eastAsia" w:ascii="黑体" w:hAnsi="Times New Roman" w:eastAsia="黑体" w:cs="Times New Roman"/>
                </w:rPr>
                <w:t>5 建设主体与资质要求</w:t>
              </w:r>
            </w:sdtContent>
          </w:sdt>
          <w:r>
            <w:tab/>
          </w:r>
          <w:bookmarkStart w:id="24" w:name="_Toc460472893_WPSOffice_Level1Page"/>
          <w:r>
            <w:t>2</w:t>
          </w:r>
          <w:bookmarkEnd w:id="24"/>
          <w:r>
            <w:fldChar w:fldCharType="end"/>
          </w:r>
        </w:p>
        <w:p>
          <w:pPr>
            <w:pStyle w:val="230"/>
            <w:tabs>
              <w:tab w:val="right" w:leader="dot" w:pos="9354"/>
            </w:tabs>
          </w:pPr>
          <w:r>
            <w:fldChar w:fldCharType="begin"/>
          </w:r>
          <w:r>
            <w:instrText xml:space="preserve"> HYPERLINK \l _Toc96993285_WPSOffice_Level1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c45f50f3-d974-4201-9cb7-156fea80b2c3}"/>
              </w:placeholder>
            </w:sdtPr>
            <w:sdtEndPr>
              <w:rPr>
                <w:rFonts w:ascii="Calibri" w:hAnsi="Calibri" w:eastAsia="宋体" w:cs="Times New Roman"/>
                <w:kern w:val="2"/>
                <w:sz w:val="21"/>
                <w:szCs w:val="21"/>
                <w:lang w:val="en-US" w:eastAsia="zh-CN" w:bidi="ar-SA"/>
              </w:rPr>
            </w:sdtEndPr>
            <w:sdtContent>
              <w:r>
                <w:rPr>
                  <w:rFonts w:hint="eastAsia" w:ascii="黑体" w:hAnsi="Times New Roman" w:eastAsia="黑体" w:cs="Times New Roman"/>
                </w:rPr>
                <w:t>6 选址与场地要求</w:t>
              </w:r>
            </w:sdtContent>
          </w:sdt>
          <w:r>
            <w:tab/>
          </w:r>
          <w:bookmarkStart w:id="25" w:name="_Toc96993285_WPSOffice_Level1Page"/>
          <w:r>
            <w:t>2</w:t>
          </w:r>
          <w:bookmarkEnd w:id="25"/>
          <w:r>
            <w:fldChar w:fldCharType="end"/>
          </w:r>
        </w:p>
        <w:p>
          <w:pPr>
            <w:pStyle w:val="230"/>
            <w:tabs>
              <w:tab w:val="right" w:leader="dot" w:pos="9354"/>
            </w:tabs>
          </w:pPr>
          <w:r>
            <w:fldChar w:fldCharType="begin"/>
          </w:r>
          <w:r>
            <w:instrText xml:space="preserve"> HYPERLINK \l _Toc397850547_WPSOffice_Level1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e89fcf62-3928-420f-a509-9fe38bc42f2c}"/>
              </w:placeholder>
            </w:sdtPr>
            <w:sdtEndPr>
              <w:rPr>
                <w:rFonts w:ascii="Calibri" w:hAnsi="Calibri" w:eastAsia="宋体" w:cs="Times New Roman"/>
                <w:kern w:val="2"/>
                <w:sz w:val="21"/>
                <w:szCs w:val="21"/>
                <w:lang w:val="en-US" w:eastAsia="zh-CN" w:bidi="ar-SA"/>
              </w:rPr>
            </w:sdtEndPr>
            <w:sdtContent>
              <w:r>
                <w:rPr>
                  <w:rFonts w:hint="eastAsia" w:ascii="黑体" w:hAnsi="Times New Roman" w:eastAsia="黑体" w:cs="Times New Roman"/>
                </w:rPr>
                <w:t>7 建筑与功能分区</w:t>
              </w:r>
            </w:sdtContent>
          </w:sdt>
          <w:r>
            <w:tab/>
          </w:r>
          <w:bookmarkStart w:id="26" w:name="_Toc397850547_WPSOffice_Level1Page"/>
          <w:r>
            <w:t>2</w:t>
          </w:r>
          <w:bookmarkEnd w:id="26"/>
          <w:r>
            <w:fldChar w:fldCharType="end"/>
          </w:r>
        </w:p>
        <w:p>
          <w:pPr>
            <w:pStyle w:val="230"/>
            <w:tabs>
              <w:tab w:val="right" w:leader="dot" w:pos="9354"/>
            </w:tabs>
          </w:pPr>
          <w:r>
            <w:fldChar w:fldCharType="begin"/>
          </w:r>
          <w:r>
            <w:instrText xml:space="preserve"> HYPERLINK \l _Toc1674465606_WPSOffice_Level1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dca5a935-4eb2-410b-91cf-4bd2a1730553}"/>
              </w:placeholder>
            </w:sdtPr>
            <w:sdtEndPr>
              <w:rPr>
                <w:rFonts w:ascii="Calibri" w:hAnsi="Calibri" w:eastAsia="宋体" w:cs="Times New Roman"/>
                <w:kern w:val="2"/>
                <w:sz w:val="21"/>
                <w:szCs w:val="21"/>
                <w:lang w:val="en-US" w:eastAsia="zh-CN" w:bidi="ar-SA"/>
              </w:rPr>
            </w:sdtEndPr>
            <w:sdtContent>
              <w:r>
                <w:rPr>
                  <w:rFonts w:hint="eastAsia" w:ascii="黑体" w:hAnsi="Times New Roman" w:eastAsia="黑体" w:cs="Times New Roman"/>
                </w:rPr>
                <w:t>8 设施设备配置</w:t>
              </w:r>
            </w:sdtContent>
          </w:sdt>
          <w:r>
            <w:tab/>
          </w:r>
          <w:bookmarkStart w:id="27" w:name="_Toc1674465606_WPSOffice_Level1Page"/>
          <w:r>
            <w:t>3</w:t>
          </w:r>
          <w:bookmarkEnd w:id="27"/>
          <w:r>
            <w:fldChar w:fldCharType="end"/>
          </w:r>
        </w:p>
        <w:p>
          <w:pPr>
            <w:pStyle w:val="230"/>
            <w:tabs>
              <w:tab w:val="right" w:leader="dot" w:pos="9354"/>
            </w:tabs>
          </w:pPr>
          <w:r>
            <w:fldChar w:fldCharType="begin"/>
          </w:r>
          <w:r>
            <w:instrText xml:space="preserve"> HYPERLINK \l _Toc1647483980_WPSOffice_Level1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65cd17b4-0eeb-43d9-82ae-d6cbbbfb0207}"/>
              </w:placeholder>
            </w:sdtPr>
            <w:sdtEndPr>
              <w:rPr>
                <w:rFonts w:ascii="Calibri" w:hAnsi="Calibri" w:eastAsia="宋体" w:cs="Times New Roman"/>
                <w:kern w:val="2"/>
                <w:sz w:val="21"/>
                <w:szCs w:val="21"/>
                <w:lang w:val="en-US" w:eastAsia="zh-CN" w:bidi="ar-SA"/>
              </w:rPr>
            </w:sdtEndPr>
            <w:sdtContent>
              <w:r>
                <w:rPr>
                  <w:rFonts w:hint="eastAsia" w:ascii="黑体" w:hAnsi="Times New Roman" w:eastAsia="黑体" w:cs="Times New Roman"/>
                </w:rPr>
                <w:t>9 运营服务要求</w:t>
              </w:r>
            </w:sdtContent>
          </w:sdt>
          <w:r>
            <w:tab/>
          </w:r>
          <w:bookmarkStart w:id="28" w:name="_Toc1647483980_WPSOffice_Level1Page"/>
          <w:r>
            <w:t>3</w:t>
          </w:r>
          <w:bookmarkEnd w:id="28"/>
          <w:r>
            <w:fldChar w:fldCharType="end"/>
          </w:r>
        </w:p>
        <w:p>
          <w:pPr>
            <w:pStyle w:val="230"/>
            <w:tabs>
              <w:tab w:val="right" w:leader="dot" w:pos="9354"/>
            </w:tabs>
          </w:pPr>
          <w:r>
            <w:fldChar w:fldCharType="begin"/>
          </w:r>
          <w:r>
            <w:instrText xml:space="preserve"> HYPERLINK \l _Toc1640502380_WPSOffice_Level1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aa304c88-83a8-4468-94a8-c3ffad23b27a}"/>
              </w:placeholder>
            </w:sdtPr>
            <w:sdtEndPr>
              <w:rPr>
                <w:rFonts w:ascii="Calibri" w:hAnsi="Calibri" w:eastAsia="宋体" w:cs="Times New Roman"/>
                <w:kern w:val="2"/>
                <w:sz w:val="21"/>
                <w:szCs w:val="21"/>
                <w:lang w:val="en-US" w:eastAsia="zh-CN" w:bidi="ar-SA"/>
              </w:rPr>
            </w:sdtEndPr>
            <w:sdtContent>
              <w:r>
                <w:rPr>
                  <w:rFonts w:hint="eastAsia" w:ascii="黑体" w:hAnsi="Times New Roman" w:eastAsia="黑体" w:cs="Times New Roman"/>
                </w:rPr>
                <w:t>10 安全管理与应急措施</w:t>
              </w:r>
            </w:sdtContent>
          </w:sdt>
          <w:r>
            <w:tab/>
          </w:r>
          <w:bookmarkStart w:id="29" w:name="_Toc1640502380_WPSOffice_Level1Page"/>
          <w:r>
            <w:t>3</w:t>
          </w:r>
          <w:bookmarkEnd w:id="29"/>
          <w:r>
            <w:fldChar w:fldCharType="end"/>
          </w:r>
        </w:p>
        <w:p>
          <w:pPr>
            <w:pStyle w:val="230"/>
            <w:tabs>
              <w:tab w:val="right" w:leader="dot" w:pos="9354"/>
            </w:tabs>
          </w:pPr>
          <w:r>
            <w:fldChar w:fldCharType="begin"/>
          </w:r>
          <w:r>
            <w:instrText xml:space="preserve"> HYPERLINK \l _Toc1060784005_WPSOffice_Level1 </w:instrText>
          </w:r>
          <w:r>
            <w:fldChar w:fldCharType="separate"/>
          </w:r>
          <w:sdt>
            <w:sdtPr>
              <w:rPr>
                <w:rFonts w:ascii="Calibri" w:hAnsi="Calibri" w:eastAsia="宋体" w:cs="Times New Roman"/>
                <w:kern w:val="2"/>
                <w:sz w:val="21"/>
                <w:szCs w:val="21"/>
                <w:lang w:val="en-US" w:eastAsia="zh-CN" w:bidi="ar-SA"/>
              </w:rPr>
              <w:id w:val="116942465"/>
              <w:placeholder>
                <w:docPart w:val="{2d446d8e-92aa-4077-a235-ef8c79dff8e0}"/>
              </w:placeholder>
            </w:sdtPr>
            <w:sdtEndPr>
              <w:rPr>
                <w:rFonts w:ascii="Calibri" w:hAnsi="Calibri" w:eastAsia="宋体" w:cs="Times New Roman"/>
                <w:kern w:val="2"/>
                <w:sz w:val="21"/>
                <w:szCs w:val="21"/>
                <w:lang w:val="en-US" w:eastAsia="zh-CN" w:bidi="ar-SA"/>
              </w:rPr>
            </w:sdtEndPr>
            <w:sdtContent>
              <w:r>
                <w:rPr>
                  <w:rFonts w:hint="eastAsia" w:ascii="方正黑体_GBK" w:hAnsi="方正黑体_GBK" w:eastAsia="方正黑体_GBK" w:cs="方正黑体_GBK"/>
                </w:rPr>
                <w:t>参考文献</w:t>
              </w:r>
            </w:sdtContent>
          </w:sdt>
          <w:r>
            <w:tab/>
          </w:r>
          <w:bookmarkStart w:id="30" w:name="_Toc1060784005_WPSOffice_Level1Page"/>
          <w:r>
            <w:t>4</w:t>
          </w:r>
          <w:bookmarkEnd w:id="30"/>
          <w:r>
            <w:fldChar w:fldCharType="end"/>
          </w:r>
        </w:p>
        <w:bookmarkEnd w:id="17"/>
        <w:p>
          <w:pPr>
            <w:pStyle w:val="230"/>
            <w:tabs>
              <w:tab w:val="right" w:leader="dot" w:pos="9354"/>
            </w:tabs>
            <w:ind w:left="0" w:leftChars="0"/>
          </w:pPr>
        </w:p>
      </w:sdtContent>
    </w:sdt>
    <w:p>
      <w:pPr>
        <w:rPr>
          <w:rFonts w:hint="eastAsia"/>
          <w:spacing w:val="320"/>
          <w:lang w:eastAsia="zh-CN"/>
        </w:rPr>
      </w:pPr>
      <w:r>
        <w:rPr>
          <w:rFonts w:hint="eastAsia"/>
          <w:spacing w:val="320"/>
          <w:lang w:eastAsia="zh-CN"/>
        </w:rPr>
        <w:br w:type="page"/>
      </w:r>
      <w:bookmarkStart w:id="71" w:name="_GoBack"/>
      <w:bookmarkEnd w:id="71"/>
    </w:p>
    <w:p>
      <w:pPr>
        <w:rPr>
          <w:rFonts w:hint="eastAsia"/>
          <w:spacing w:val="320"/>
          <w:lang w:eastAsia="zh-CN"/>
        </w:rPr>
      </w:pPr>
    </w:p>
    <w:p>
      <w:pPr>
        <w:pStyle w:val="89"/>
        <w:spacing w:after="468"/>
      </w:pPr>
      <w:bookmarkStart w:id="31" w:name="_Toc765038034_WPSOffice_Level1"/>
      <w:r>
        <w:rPr>
          <w:spacing w:val="320"/>
        </w:rPr>
        <w:t>前</w:t>
      </w:r>
      <w:r>
        <w:t>言</w:t>
      </w:r>
      <w:bookmarkEnd w:id="31"/>
    </w:p>
    <w:p>
      <w:pPr>
        <w:pStyle w:val="56"/>
        <w:ind w:firstLine="420"/>
        <w:rPr>
          <w:rFonts w:hint="eastAsia"/>
        </w:rPr>
      </w:pPr>
      <w:r>
        <w:rPr>
          <w:rFonts w:hint="eastAsia"/>
        </w:rPr>
        <w:t>本文件按照GB/T 1.1—2020《标准化工作导则  第1部分：标准化文件的结构和起草规则》的规定起草。</w:t>
      </w:r>
    </w:p>
    <w:p>
      <w:pPr>
        <w:pStyle w:val="56"/>
        <w:ind w:firstLine="420"/>
        <w:rPr>
          <w:rFonts w:hint="eastAsia"/>
        </w:rPr>
      </w:pPr>
      <w:r>
        <w:rPr>
          <w:rFonts w:hint="eastAsia"/>
        </w:rPr>
        <w:t xml:space="preserve">本文件由南阳市中医药管理局提出并归口。  </w:t>
      </w:r>
    </w:p>
    <w:p>
      <w:pPr>
        <w:pStyle w:val="56"/>
        <w:ind w:firstLine="420"/>
        <w:rPr>
          <w:rFonts w:hint="eastAsia"/>
        </w:rPr>
      </w:pPr>
      <w:r>
        <w:rPr>
          <w:rFonts w:hint="eastAsia"/>
        </w:rPr>
        <w:t xml:space="preserve">本文件起草单位：南阳市中医院。  </w:t>
      </w:r>
    </w:p>
    <w:p>
      <w:pPr>
        <w:pStyle w:val="56"/>
        <w:ind w:firstLine="420"/>
      </w:pPr>
      <w:r>
        <w:rPr>
          <w:rFonts w:hint="eastAsia"/>
        </w:rPr>
        <w:t>本文件主要起草人：秦玖刚、魏戍、崔书克、蔡文、张继中、贾虎林、董军、张小静、袁兵、张雯、张聪。</w:t>
      </w: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16"/>
    <w:p>
      <w:pPr>
        <w:spacing w:line="20" w:lineRule="exact"/>
        <w:jc w:val="center"/>
        <w:rPr>
          <w:rFonts w:ascii="黑体" w:hAnsi="黑体" w:eastAsia="黑体"/>
          <w:sz w:val="32"/>
          <w:szCs w:val="32"/>
        </w:rPr>
      </w:pPr>
      <w:bookmarkStart w:id="32" w:name="BookMark4"/>
    </w:p>
    <w:p>
      <w:pPr>
        <w:spacing w:line="20" w:lineRule="exact"/>
        <w:jc w:val="center"/>
        <w:rPr>
          <w:rFonts w:ascii="黑体" w:hAnsi="黑体" w:eastAsia="黑体"/>
          <w:sz w:val="32"/>
          <w:szCs w:val="32"/>
        </w:rPr>
      </w:pPr>
    </w:p>
    <w:sdt>
      <w:sdtPr>
        <w:tag w:val="NEW_STAND_NAME"/>
        <w:id w:val="595910757"/>
        <w:lock w:val="sdtLocked"/>
        <w:placeholder>
          <w:docPart w:val="48207E99AF564D79AD432858DCE58CFE"/>
        </w:placeholder>
      </w:sdtPr>
      <w:sdtContent>
        <w:p>
          <w:pPr>
            <w:pStyle w:val="177"/>
            <w:spacing w:before="312" w:beforeLines="100" w:after="686" w:afterLines="220"/>
          </w:pPr>
          <w:bookmarkStart w:id="33" w:name="_Toc1886634332_WPSOffice_Level1"/>
          <w:bookmarkStart w:id="34" w:name="NEW_STAND_NAME"/>
          <w:r>
            <w:rPr>
              <w:rFonts w:hint="eastAsia"/>
              <w:lang w:eastAsia="zh-CN"/>
            </w:rPr>
            <w:t>经方阁建设规范</w:t>
          </w:r>
          <w:bookmarkEnd w:id="33"/>
        </w:p>
      </w:sdtContent>
    </w:sdt>
    <w:bookmarkEnd w:id="34"/>
    <w:p>
      <w:pPr>
        <w:pStyle w:val="104"/>
        <w:spacing w:before="312" w:after="312"/>
      </w:pPr>
      <w:bookmarkStart w:id="35" w:name="_Toc97191423"/>
      <w:bookmarkStart w:id="36" w:name="_Toc26986771"/>
      <w:bookmarkStart w:id="37" w:name="_Toc17233325"/>
      <w:bookmarkStart w:id="38" w:name="_Toc26986530"/>
      <w:bookmarkStart w:id="39" w:name="_Toc24884218"/>
      <w:bookmarkStart w:id="40" w:name="_Toc17233333"/>
      <w:bookmarkStart w:id="41" w:name="_Toc24884211"/>
      <w:bookmarkStart w:id="42" w:name="_Toc26718930"/>
      <w:bookmarkStart w:id="43" w:name="_Toc26648465"/>
      <w:bookmarkStart w:id="44" w:name="_Toc573519479_WPSOffice_Level1"/>
      <w:r>
        <w:rPr>
          <w:rFonts w:hint="eastAsia"/>
        </w:rPr>
        <w:t>范围</w:t>
      </w:r>
      <w:bookmarkEnd w:id="35"/>
      <w:bookmarkEnd w:id="36"/>
      <w:bookmarkEnd w:id="37"/>
      <w:bookmarkEnd w:id="38"/>
      <w:bookmarkEnd w:id="39"/>
      <w:bookmarkEnd w:id="40"/>
      <w:bookmarkEnd w:id="41"/>
      <w:bookmarkEnd w:id="42"/>
      <w:bookmarkEnd w:id="43"/>
      <w:bookmarkEnd w:id="44"/>
    </w:p>
    <w:p>
      <w:pPr>
        <w:pStyle w:val="56"/>
        <w:ind w:firstLine="420"/>
        <w:rPr>
          <w:rFonts w:hint="eastAsia"/>
        </w:rPr>
      </w:pPr>
      <w:bookmarkStart w:id="45" w:name="_Toc26648466"/>
      <w:bookmarkStart w:id="46" w:name="_Toc24884212"/>
      <w:bookmarkStart w:id="47" w:name="_Toc17233326"/>
      <w:bookmarkStart w:id="48" w:name="_Toc17233334"/>
      <w:bookmarkStart w:id="49" w:name="_Toc24884219"/>
      <w:r>
        <w:rPr>
          <w:rFonts w:hint="eastAsia"/>
        </w:rPr>
        <w:t xml:space="preserve">本文件规定了张仲景经方阁的建设原则、功能定位、场地要求、建筑标准、设施配置、运营管理等内容。  </w:t>
      </w:r>
    </w:p>
    <w:p>
      <w:pPr>
        <w:pStyle w:val="56"/>
        <w:ind w:firstLine="420"/>
      </w:pPr>
      <w:r>
        <w:rPr>
          <w:rFonts w:hint="eastAsia"/>
        </w:rPr>
        <w:t>本文件适用于南阳市行政区域内经方阁的新建、改扩建及运营管理，其他地区可参照执行。</w:t>
      </w:r>
    </w:p>
    <w:p>
      <w:pPr>
        <w:pStyle w:val="104"/>
        <w:spacing w:before="312" w:after="312"/>
      </w:pPr>
      <w:bookmarkStart w:id="50" w:name="_Toc97191424"/>
      <w:bookmarkStart w:id="51" w:name="_Toc26986531"/>
      <w:bookmarkStart w:id="52" w:name="_Toc26986772"/>
      <w:bookmarkStart w:id="53" w:name="_Toc26718931"/>
      <w:bookmarkStart w:id="54" w:name="_Toc410629512_WPSOffice_Level1"/>
      <w:r>
        <w:rPr>
          <w:rFonts w:hint="eastAsia"/>
        </w:rPr>
        <w:t>规范性引用文件</w:t>
      </w:r>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8D02658FCB1244B591B5A83527E30F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hint="eastAsia"/>
        </w:rPr>
      </w:pPr>
      <w:r>
        <w:rPr>
          <w:rFonts w:hint="eastAsia"/>
        </w:rPr>
        <w:t xml:space="preserve"> GB 50314—2015 智能建筑设计标准  </w:t>
      </w:r>
    </w:p>
    <w:p>
      <w:pPr>
        <w:pStyle w:val="56"/>
        <w:ind w:firstLine="420"/>
        <w:rPr>
          <w:rFonts w:hint="eastAsia"/>
        </w:rPr>
      </w:pPr>
      <w:r>
        <w:rPr>
          <w:rFonts w:hint="eastAsia"/>
        </w:rPr>
        <w:t xml:space="preserve"> GB/T 19001—2016 质量管理体系要求  </w:t>
      </w:r>
    </w:p>
    <w:p>
      <w:pPr>
        <w:pStyle w:val="56"/>
        <w:ind w:firstLine="420"/>
        <w:rPr>
          <w:rFonts w:hint="eastAsia"/>
        </w:rPr>
      </w:pPr>
      <w:r>
        <w:rPr>
          <w:rFonts w:hint="eastAsia"/>
        </w:rPr>
        <w:t xml:space="preserve"> GB 15982—2012 医院消毒卫生标准  </w:t>
      </w:r>
    </w:p>
    <w:p>
      <w:pPr>
        <w:pStyle w:val="56"/>
        <w:ind w:firstLine="420"/>
        <w:rPr>
          <w:rFonts w:hint="eastAsia"/>
        </w:rPr>
      </w:pPr>
      <w:r>
        <w:rPr>
          <w:rFonts w:hint="eastAsia"/>
        </w:rPr>
        <w:t xml:space="preserve"> 《中华人民共和国中医药法》（2016年）  </w:t>
      </w:r>
    </w:p>
    <w:p>
      <w:pPr>
        <w:pStyle w:val="56"/>
        <w:ind w:firstLine="420"/>
      </w:pPr>
      <w:r>
        <w:rPr>
          <w:rFonts w:hint="eastAsia"/>
        </w:rPr>
        <w:t xml:space="preserve"> 《中医诊所基本标准》（2023年版）</w:t>
      </w:r>
    </w:p>
    <w:p>
      <w:pPr>
        <w:pStyle w:val="104"/>
        <w:spacing w:before="312" w:after="312"/>
      </w:pPr>
      <w:bookmarkStart w:id="55" w:name="_Toc97191425"/>
      <w:bookmarkStart w:id="56" w:name="_Toc1786209755_WPSOffice_Level1"/>
      <w:r>
        <w:rPr>
          <w:rFonts w:hint="eastAsia"/>
          <w:szCs w:val="21"/>
        </w:rPr>
        <w:t>术语和定义</w:t>
      </w:r>
      <w:bookmarkEnd w:id="55"/>
      <w:bookmarkEnd w:id="56"/>
    </w:p>
    <w:sdt>
      <w:sdtPr>
        <w:id w:val="-1909835108"/>
        <w:placeholder>
          <w:docPart w:val="6E8A5678FB2D44C884636A50CF278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7" w:name="_Toc26986532"/>
          <w:bookmarkEnd w:id="57"/>
          <w:r>
            <w:rPr>
              <w:rFonts w:ascii="宋体" w:hAnsi="Times New Roman" w:eastAsia="宋体" w:cs="Times New Roman"/>
              <w:sz w:val="21"/>
              <w:lang w:val="en-US" w:eastAsia="zh-CN" w:bidi="ar-SA"/>
            </w:rPr>
            <w:t>下列术语和定义适用于本文件。</w:t>
          </w:r>
        </w:p>
      </w:sdtContent>
    </w:sdt>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3.1 张仲景经方阁  </w:t>
      </w:r>
    </w:p>
    <w:p>
      <w:pPr>
        <w:pStyle w:val="56"/>
        <w:ind w:firstLine="420"/>
        <w:rPr>
          <w:rFonts w:hint="eastAsia"/>
        </w:rPr>
      </w:pPr>
      <w:r>
        <w:rPr>
          <w:rFonts w:hint="eastAsia"/>
        </w:rPr>
        <w:t xml:space="preserve">以中医药理论为指导，依托仲景文化特色，整合中医非药物疗法资源，提供慢性疼痛诊疗、颈肩腰腿痛、中医康复、健康管理等服务的标准化中医诊疗延伸机构。  </w:t>
      </w: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3.2 非药物疗法  </w:t>
      </w:r>
    </w:p>
    <w:p>
      <w:pPr>
        <w:pStyle w:val="56"/>
        <w:ind w:firstLine="420"/>
        <w:rPr>
          <w:rFonts w:hint="eastAsia"/>
        </w:rPr>
      </w:pPr>
      <w:r>
        <w:rPr>
          <w:rFonts w:hint="eastAsia"/>
        </w:rPr>
        <w:t xml:space="preserve">以针灸、推拿、艾灸、拔罐等中医适宜技术为核心，不依赖化学药物的治疗手段。  </w:t>
      </w: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3.3 功能区  </w:t>
      </w:r>
    </w:p>
    <w:p>
      <w:pPr>
        <w:pStyle w:val="56"/>
        <w:ind w:firstLine="420"/>
        <w:rPr>
          <w:rFonts w:hint="eastAsia"/>
        </w:rPr>
      </w:pPr>
      <w:r>
        <w:rPr>
          <w:rFonts w:hint="eastAsia"/>
        </w:rPr>
        <w:t>经方阁内承担特定服务职能的区域，包括诊疗区、康复区、文化展示区等。</w:t>
      </w:r>
    </w:p>
    <w:p>
      <w:pPr>
        <w:pStyle w:val="56"/>
        <w:ind w:firstLine="420"/>
        <w:rPr>
          <w:rFonts w:hint="eastAsia"/>
        </w:rPr>
      </w:pPr>
    </w:p>
    <w:p>
      <w:pPr>
        <w:pStyle w:val="104"/>
        <w:spacing w:before="312" w:after="312"/>
        <w:rPr>
          <w:rFonts w:hint="eastAsia"/>
          <w:szCs w:val="21"/>
        </w:rPr>
      </w:pPr>
      <w:bookmarkStart w:id="58" w:name="_Toc1034071629_WPSOffice_Level1"/>
      <w:r>
        <w:rPr>
          <w:rFonts w:hint="eastAsia"/>
          <w:szCs w:val="21"/>
        </w:rPr>
        <w:t>建设原则与定位</w:t>
      </w:r>
      <w:bookmarkEnd w:id="58"/>
      <w:r>
        <w:rPr>
          <w:rFonts w:hint="eastAsia"/>
          <w:szCs w:val="21"/>
        </w:rPr>
        <w:t xml:space="preserve">  </w:t>
      </w: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4.1 建设原则  </w:t>
      </w:r>
    </w:p>
    <w:p>
      <w:pPr>
        <w:pStyle w:val="56"/>
        <w:ind w:firstLine="420"/>
        <w:rPr>
          <w:rFonts w:hint="eastAsia"/>
        </w:rPr>
      </w:pPr>
      <w:r>
        <w:rPr>
          <w:rFonts w:hint="eastAsia"/>
        </w:rPr>
        <w:t xml:space="preserve"> 文化传承：突出仲景文化元素，融入传统建筑风格；  </w:t>
      </w:r>
    </w:p>
    <w:p>
      <w:pPr>
        <w:pStyle w:val="56"/>
        <w:ind w:firstLine="420"/>
        <w:rPr>
          <w:rFonts w:hint="eastAsia"/>
        </w:rPr>
      </w:pPr>
      <w:r>
        <w:rPr>
          <w:rFonts w:hint="eastAsia"/>
        </w:rPr>
        <w:t xml:space="preserve"> 功能复合：集医疗、康复、文化传播、健康管理于一体；  </w:t>
      </w:r>
    </w:p>
    <w:p>
      <w:pPr>
        <w:pStyle w:val="56"/>
        <w:ind w:firstLine="420"/>
        <w:rPr>
          <w:rFonts w:hint="eastAsia"/>
        </w:rPr>
      </w:pPr>
      <w:r>
        <w:rPr>
          <w:rFonts w:hint="eastAsia"/>
        </w:rPr>
        <w:t xml:space="preserve"> 标准统一：实现技术、品牌、管理的“三平移”；  </w:t>
      </w:r>
    </w:p>
    <w:p>
      <w:pPr>
        <w:pStyle w:val="56"/>
        <w:ind w:firstLine="420"/>
        <w:rPr>
          <w:rFonts w:hint="eastAsia"/>
        </w:rPr>
      </w:pPr>
      <w:r>
        <w:rPr>
          <w:rFonts w:hint="eastAsia"/>
        </w:rPr>
        <w:t xml:space="preserve"> 便民惠民：提供“简、便、廉、验”的中医药服务。  </w:t>
      </w:r>
    </w:p>
    <w:p>
      <w:pPr>
        <w:pStyle w:val="56"/>
        <w:ind w:firstLine="420"/>
        <w:rPr>
          <w:rFonts w:hint="eastAsia"/>
        </w:rPr>
      </w:pP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4.2 功能定位  </w:t>
      </w:r>
    </w:p>
    <w:p>
      <w:pPr>
        <w:pStyle w:val="56"/>
        <w:ind w:firstLine="420"/>
        <w:rPr>
          <w:rFonts w:hint="eastAsia"/>
        </w:rPr>
      </w:pPr>
      <w:r>
        <w:rPr>
          <w:rFonts w:hint="eastAsia"/>
        </w:rPr>
        <w:t xml:space="preserve"> 基础功能：提供血管痉挛性头痛、枕大神经痛、急性面瘫、落枕、神经根型颈椎病等20种以上慢性疼痛疾病的中医诊疗服务；  </w:t>
      </w:r>
    </w:p>
    <w:p>
      <w:pPr>
        <w:pStyle w:val="56"/>
        <w:ind w:firstLine="420"/>
        <w:rPr>
          <w:rFonts w:hint="eastAsia"/>
        </w:rPr>
      </w:pPr>
      <w:r>
        <w:rPr>
          <w:rFonts w:hint="eastAsia"/>
        </w:rPr>
        <w:t xml:space="preserve"> 扩展功能：开展中医体质辨识、健康宣教、国际中医药文化交流；  </w:t>
      </w:r>
    </w:p>
    <w:p>
      <w:pPr>
        <w:pStyle w:val="56"/>
        <w:ind w:firstLine="420"/>
        <w:rPr>
          <w:rFonts w:hint="eastAsia"/>
        </w:rPr>
      </w:pPr>
      <w:r>
        <w:rPr>
          <w:rFonts w:hint="eastAsia"/>
        </w:rPr>
        <w:t xml:space="preserve"> 特色功能：推广南阳艾，针灸推拿中医适宜技术等核心技术培训。  </w:t>
      </w:r>
    </w:p>
    <w:p>
      <w:pPr>
        <w:pStyle w:val="56"/>
        <w:ind w:firstLine="420"/>
        <w:rPr>
          <w:rFonts w:hint="eastAsia"/>
        </w:rPr>
      </w:pPr>
    </w:p>
    <w:p>
      <w:pPr>
        <w:pStyle w:val="104"/>
        <w:spacing w:before="312" w:after="312"/>
        <w:rPr>
          <w:rFonts w:hint="eastAsia"/>
          <w:szCs w:val="21"/>
          <w:lang w:val="en-US" w:eastAsia="zh-CN"/>
        </w:rPr>
      </w:pPr>
      <w:bookmarkStart w:id="59" w:name="_Toc460472893_WPSOffice_Level1"/>
      <w:r>
        <w:rPr>
          <w:rFonts w:hint="eastAsia"/>
          <w:szCs w:val="21"/>
          <w:lang w:val="en-US" w:eastAsia="zh-CN"/>
        </w:rPr>
        <w:t>建设主体与资质要求</w:t>
      </w:r>
      <w:bookmarkEnd w:id="59"/>
      <w:r>
        <w:rPr>
          <w:rFonts w:hint="eastAsia"/>
          <w:szCs w:val="21"/>
          <w:lang w:val="en-US" w:eastAsia="zh-CN"/>
        </w:rPr>
        <w:t xml:space="preserve">  </w:t>
      </w: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5.1 主体资质  </w:t>
      </w:r>
    </w:p>
    <w:p>
      <w:pPr>
        <w:pStyle w:val="56"/>
        <w:ind w:firstLine="420"/>
        <w:rPr>
          <w:rFonts w:hint="eastAsia"/>
        </w:rPr>
      </w:pPr>
      <w:r>
        <w:rPr>
          <w:rFonts w:hint="eastAsia"/>
        </w:rPr>
        <w:t xml:space="preserve"> 须为依法注册的医疗机构或具备中医药服务资质的法人单位；  </w:t>
      </w:r>
    </w:p>
    <w:p>
      <w:pPr>
        <w:pStyle w:val="56"/>
        <w:ind w:firstLine="420"/>
        <w:rPr>
          <w:rFonts w:hint="eastAsia"/>
        </w:rPr>
      </w:pPr>
      <w:r>
        <w:rPr>
          <w:rFonts w:hint="eastAsia"/>
        </w:rPr>
        <w:t xml:space="preserve"> 需通过南阳市中医药管理局技术审核。  </w:t>
      </w:r>
    </w:p>
    <w:p>
      <w:pPr>
        <w:pStyle w:val="56"/>
        <w:ind w:firstLine="420"/>
        <w:rPr>
          <w:rFonts w:hint="eastAsia"/>
        </w:rPr>
      </w:pP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5.2 人员配置  </w:t>
      </w:r>
    </w:p>
    <w:p>
      <w:pPr>
        <w:pStyle w:val="56"/>
        <w:ind w:firstLine="420"/>
        <w:rPr>
          <w:rFonts w:hint="eastAsia"/>
        </w:rPr>
      </w:pPr>
      <w:r>
        <w:rPr>
          <w:rFonts w:hint="eastAsia"/>
        </w:rPr>
        <w:t xml:space="preserve"> 每间经方阁配备中医师不少于2名，护理人员1名；  </w:t>
      </w:r>
    </w:p>
    <w:p>
      <w:pPr>
        <w:pStyle w:val="56"/>
        <w:ind w:firstLine="420"/>
        <w:rPr>
          <w:rFonts w:hint="eastAsia"/>
        </w:rPr>
      </w:pPr>
      <w:r>
        <w:rPr>
          <w:rFonts w:hint="eastAsia"/>
        </w:rPr>
        <w:t xml:space="preserve"> 医师需具备中医类别执业资格，并通过经方专项培训。  </w:t>
      </w:r>
    </w:p>
    <w:p>
      <w:pPr>
        <w:pStyle w:val="56"/>
        <w:ind w:firstLine="420"/>
        <w:rPr>
          <w:rFonts w:hint="eastAsia"/>
        </w:rPr>
      </w:pPr>
    </w:p>
    <w:p>
      <w:pPr>
        <w:pStyle w:val="104"/>
        <w:spacing w:before="312" w:after="312"/>
        <w:rPr>
          <w:rFonts w:hint="eastAsia"/>
          <w:szCs w:val="21"/>
          <w:lang w:val="en-US" w:eastAsia="zh-CN"/>
        </w:rPr>
      </w:pPr>
      <w:bookmarkStart w:id="60" w:name="_Toc96993285_WPSOffice_Level1"/>
      <w:r>
        <w:rPr>
          <w:rFonts w:hint="eastAsia"/>
          <w:szCs w:val="21"/>
          <w:lang w:val="en-US" w:eastAsia="zh-CN"/>
        </w:rPr>
        <w:t>选址与场地要求</w:t>
      </w:r>
      <w:bookmarkEnd w:id="60"/>
      <w:r>
        <w:rPr>
          <w:rFonts w:hint="eastAsia"/>
          <w:szCs w:val="21"/>
          <w:lang w:val="en-US" w:eastAsia="zh-CN"/>
        </w:rPr>
        <w:t xml:space="preserve">  </w:t>
      </w: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6.1 选址原则  </w:t>
      </w:r>
    </w:p>
    <w:p>
      <w:pPr>
        <w:pStyle w:val="56"/>
        <w:ind w:firstLine="420"/>
        <w:rPr>
          <w:rFonts w:hint="eastAsia"/>
        </w:rPr>
      </w:pPr>
      <w:r>
        <w:rPr>
          <w:rFonts w:hint="eastAsia"/>
        </w:rPr>
        <w:t xml:space="preserve"> 优先布局于社区、文旅街区等人口密集区域；  </w:t>
      </w:r>
    </w:p>
    <w:p>
      <w:pPr>
        <w:pStyle w:val="56"/>
        <w:ind w:firstLine="420"/>
        <w:rPr>
          <w:rFonts w:hint="eastAsia"/>
        </w:rPr>
      </w:pPr>
      <w:r>
        <w:rPr>
          <w:rFonts w:hint="eastAsia"/>
        </w:rPr>
        <w:t xml:space="preserve"> 交通便利，服务半径覆盖3公里内居民。  </w:t>
      </w:r>
    </w:p>
    <w:p>
      <w:pPr>
        <w:pStyle w:val="56"/>
        <w:ind w:firstLine="420"/>
        <w:rPr>
          <w:rFonts w:hint="eastAsia"/>
        </w:rPr>
      </w:pP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6.2 场地标准  </w:t>
      </w:r>
    </w:p>
    <w:p>
      <w:pPr>
        <w:pStyle w:val="56"/>
        <w:ind w:firstLine="420"/>
        <w:rPr>
          <w:rFonts w:hint="eastAsia"/>
        </w:rPr>
      </w:pPr>
      <w:r>
        <w:rPr>
          <w:rFonts w:hint="eastAsia"/>
        </w:rPr>
        <w:t xml:space="preserve"> 建筑面积：单店不低于100㎡，旗舰店不低于300㎡；  </w:t>
      </w:r>
    </w:p>
    <w:p>
      <w:pPr>
        <w:pStyle w:val="56"/>
        <w:ind w:firstLine="420"/>
        <w:rPr>
          <w:rFonts w:hint="eastAsia"/>
        </w:rPr>
      </w:pPr>
      <w:r>
        <w:rPr>
          <w:rFonts w:hint="eastAsia"/>
        </w:rPr>
        <w:t xml:space="preserve"> 层高要求：诊疗区净高≥2.8m，公共区域≥3.0m；  </w:t>
      </w:r>
    </w:p>
    <w:p>
      <w:pPr>
        <w:pStyle w:val="56"/>
        <w:ind w:firstLine="420"/>
        <w:rPr>
          <w:rFonts w:hint="eastAsia"/>
        </w:rPr>
      </w:pPr>
      <w:r>
        <w:rPr>
          <w:rFonts w:hint="eastAsia"/>
        </w:rPr>
        <w:t xml:space="preserve"> 无障碍设计：需符合残疾人通行及服务需求。  </w:t>
      </w:r>
    </w:p>
    <w:p>
      <w:pPr>
        <w:pStyle w:val="56"/>
        <w:ind w:firstLine="420"/>
        <w:rPr>
          <w:rFonts w:hint="eastAsia"/>
        </w:rPr>
      </w:pPr>
    </w:p>
    <w:p>
      <w:pPr>
        <w:pStyle w:val="104"/>
        <w:spacing w:before="312" w:after="312"/>
        <w:rPr>
          <w:rFonts w:hint="eastAsia"/>
          <w:szCs w:val="21"/>
          <w:lang w:val="en-US" w:eastAsia="zh-CN"/>
        </w:rPr>
      </w:pPr>
      <w:bookmarkStart w:id="61" w:name="_Toc397850547_WPSOffice_Level1"/>
      <w:r>
        <w:rPr>
          <w:rFonts w:hint="eastAsia"/>
          <w:szCs w:val="21"/>
          <w:lang w:val="en-US" w:eastAsia="zh-CN"/>
        </w:rPr>
        <w:t>建筑与功能分区</w:t>
      </w:r>
      <w:bookmarkEnd w:id="61"/>
      <w:r>
        <w:rPr>
          <w:rFonts w:hint="eastAsia"/>
          <w:szCs w:val="21"/>
          <w:lang w:val="en-US" w:eastAsia="zh-CN"/>
        </w:rPr>
        <w:t xml:space="preserve">  </w:t>
      </w: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7.1 功能区划分  </w:t>
      </w:r>
    </w:p>
    <w:tbl>
      <w:tblPr>
        <w:tblStyle w:val="26"/>
        <w:tblW w:w="0" w:type="auto"/>
        <w:tblInd w:w="-5" w:type="dxa"/>
        <w:tblLayout w:type="fixed"/>
        <w:tblCellMar>
          <w:top w:w="0" w:type="dxa"/>
          <w:left w:w="108" w:type="dxa"/>
          <w:bottom w:w="0" w:type="dxa"/>
          <w:right w:w="108" w:type="dxa"/>
        </w:tblCellMar>
      </w:tblPr>
      <w:tblGrid>
        <w:gridCol w:w="1440"/>
        <w:gridCol w:w="3522"/>
        <w:gridCol w:w="3827"/>
      </w:tblGrid>
      <w:tr>
        <w:tblPrEx>
          <w:tblCellMar>
            <w:top w:w="0" w:type="dxa"/>
            <w:left w:w="108" w:type="dxa"/>
            <w:bottom w:w="0" w:type="dxa"/>
            <w:right w:w="108" w:type="dxa"/>
          </w:tblCellMar>
        </w:tblPrEx>
        <w:trPr>
          <w:trHeight w:val="285" w:hRule="atLeast"/>
        </w:trPr>
        <w:tc>
          <w:tcPr>
            <w:tcW w:w="1440"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ascii="Segoe UI" w:hAnsi="Segoe UI" w:eastAsia="宋体" w:cs="Segoe UI"/>
                <w:b/>
                <w:bCs/>
                <w:color w:val="404040"/>
                <w:kern w:val="0"/>
                <w:sz w:val="21"/>
                <w:szCs w:val="21"/>
              </w:rPr>
            </w:pPr>
            <w:r>
              <w:rPr>
                <w:rFonts w:ascii="Segoe UI" w:hAnsi="Segoe UI" w:eastAsia="宋体" w:cs="Segoe UI"/>
                <w:b/>
                <w:bCs/>
                <w:color w:val="404040"/>
                <w:kern w:val="0"/>
                <w:sz w:val="21"/>
                <w:szCs w:val="21"/>
              </w:rPr>
              <w:t>功能区</w:t>
            </w:r>
          </w:p>
        </w:tc>
        <w:tc>
          <w:tcPr>
            <w:tcW w:w="7349" w:type="dxa"/>
            <w:gridSpan w:val="2"/>
            <w:tcBorders>
              <w:top w:val="single" w:color="000000" w:sz="4" w:space="0"/>
              <w:left w:val="nil"/>
              <w:bottom w:val="single" w:color="000000" w:sz="4" w:space="0"/>
              <w:right w:val="single" w:color="000000" w:sz="4" w:space="0"/>
            </w:tcBorders>
            <w:vAlign w:val="bottom"/>
          </w:tcPr>
          <w:p>
            <w:pPr>
              <w:widowControl/>
              <w:jc w:val="center"/>
              <w:rPr>
                <w:rFonts w:ascii="宋体" w:hAnsi="宋体" w:eastAsia="宋体" w:cs="宋体"/>
                <w:b/>
                <w:bCs/>
                <w:kern w:val="0"/>
                <w:sz w:val="21"/>
                <w:szCs w:val="21"/>
              </w:rPr>
            </w:pPr>
            <w:r>
              <w:rPr>
                <w:rFonts w:hint="eastAsia" w:ascii="宋体" w:hAnsi="宋体" w:eastAsia="宋体" w:cs="宋体"/>
                <w:b/>
                <w:bCs/>
                <w:kern w:val="0"/>
                <w:sz w:val="21"/>
                <w:szCs w:val="21"/>
              </w:rPr>
              <w:t>核心要求</w:t>
            </w:r>
          </w:p>
        </w:tc>
      </w:tr>
      <w:tr>
        <w:tblPrEx>
          <w:tblCellMar>
            <w:top w:w="0" w:type="dxa"/>
            <w:left w:w="108" w:type="dxa"/>
            <w:bottom w:w="0" w:type="dxa"/>
            <w:right w:w="108" w:type="dxa"/>
          </w:tblCellMar>
        </w:tblPrEx>
        <w:trPr>
          <w:trHeight w:val="285" w:hRule="atLeast"/>
        </w:trPr>
        <w:tc>
          <w:tcPr>
            <w:tcW w:w="14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Segoe UI" w:hAnsi="Segoe UI" w:eastAsia="宋体" w:cs="Segoe UI"/>
                <w:b/>
                <w:bCs/>
                <w:color w:val="404040"/>
                <w:kern w:val="0"/>
                <w:sz w:val="21"/>
                <w:szCs w:val="21"/>
              </w:rPr>
            </w:pPr>
          </w:p>
        </w:tc>
        <w:tc>
          <w:tcPr>
            <w:tcW w:w="352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b/>
                <w:bCs/>
                <w:color w:val="404040"/>
                <w:kern w:val="0"/>
                <w:sz w:val="21"/>
                <w:szCs w:val="21"/>
              </w:rPr>
            </w:pPr>
            <w:r>
              <w:rPr>
                <w:rFonts w:hint="eastAsia" w:ascii="宋体" w:hAnsi="宋体" w:eastAsia="宋体" w:cs="宋体"/>
                <w:b/>
                <w:bCs/>
                <w:color w:val="404040"/>
                <w:kern w:val="0"/>
                <w:sz w:val="21"/>
                <w:szCs w:val="21"/>
              </w:rPr>
              <w:t>普通店</w:t>
            </w:r>
          </w:p>
        </w:tc>
        <w:tc>
          <w:tcPr>
            <w:tcW w:w="3827" w:type="dxa"/>
            <w:tcBorders>
              <w:top w:val="nil"/>
              <w:left w:val="nil"/>
              <w:bottom w:val="single" w:color="000000" w:sz="4" w:space="0"/>
              <w:right w:val="single" w:color="000000" w:sz="4" w:space="0"/>
            </w:tcBorders>
            <w:vAlign w:val="center"/>
          </w:tcPr>
          <w:p>
            <w:pPr>
              <w:widowControl/>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旗舰店</w:t>
            </w:r>
          </w:p>
        </w:tc>
      </w:tr>
      <w:tr>
        <w:tblPrEx>
          <w:tblCellMar>
            <w:top w:w="0" w:type="dxa"/>
            <w:left w:w="108" w:type="dxa"/>
            <w:bottom w:w="0" w:type="dxa"/>
            <w:right w:w="108" w:type="dxa"/>
          </w:tblCellMar>
        </w:tblPrEx>
        <w:trPr>
          <w:trHeight w:val="1002" w:hRule="atLeast"/>
        </w:trPr>
        <w:tc>
          <w:tcPr>
            <w:tcW w:w="1440" w:type="dxa"/>
            <w:tcBorders>
              <w:top w:val="nil"/>
              <w:left w:val="single" w:color="000000" w:sz="4" w:space="0"/>
              <w:bottom w:val="single" w:color="000000" w:sz="4" w:space="0"/>
              <w:right w:val="single" w:color="000000" w:sz="4" w:space="0"/>
            </w:tcBorders>
            <w:shd w:val="clear" w:color="000000" w:fill="FFFFFF"/>
            <w:vAlign w:val="center"/>
          </w:tcPr>
          <w:p>
            <w:pPr>
              <w:widowControl/>
              <w:jc w:val="center"/>
              <w:rPr>
                <w:rFonts w:hint="eastAsia" w:ascii="Segoe UI" w:hAnsi="Segoe UI" w:eastAsia="宋体" w:cs="Segoe UI"/>
                <w:b/>
                <w:bCs/>
                <w:color w:val="404040"/>
                <w:kern w:val="0"/>
                <w:sz w:val="21"/>
                <w:szCs w:val="21"/>
              </w:rPr>
            </w:pPr>
            <w:r>
              <w:rPr>
                <w:rFonts w:ascii="Segoe UI" w:hAnsi="Segoe UI" w:eastAsia="宋体" w:cs="Segoe UI"/>
                <w:b/>
                <w:bCs/>
                <w:color w:val="404040"/>
                <w:kern w:val="0"/>
                <w:sz w:val="21"/>
                <w:szCs w:val="21"/>
              </w:rPr>
              <w:t>诊疗区</w:t>
            </w:r>
          </w:p>
        </w:tc>
        <w:tc>
          <w:tcPr>
            <w:tcW w:w="352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设置独立诊室1-3间；每诊室面积≥6㎡。</w:t>
            </w:r>
          </w:p>
        </w:tc>
        <w:tc>
          <w:tcPr>
            <w:tcW w:w="3827"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设置独立诊室4-10间；每诊室面积≥10㎡。</w:t>
            </w:r>
          </w:p>
        </w:tc>
      </w:tr>
      <w:tr>
        <w:tblPrEx>
          <w:tblCellMar>
            <w:top w:w="0" w:type="dxa"/>
            <w:left w:w="108" w:type="dxa"/>
            <w:bottom w:w="0" w:type="dxa"/>
            <w:right w:w="108" w:type="dxa"/>
          </w:tblCellMar>
        </w:tblPrEx>
        <w:trPr>
          <w:trHeight w:val="1002" w:hRule="atLeast"/>
        </w:trPr>
        <w:tc>
          <w:tcPr>
            <w:tcW w:w="1440" w:type="dxa"/>
            <w:tcBorders>
              <w:top w:val="nil"/>
              <w:left w:val="single" w:color="000000" w:sz="4" w:space="0"/>
              <w:bottom w:val="single" w:color="000000" w:sz="4" w:space="0"/>
              <w:right w:val="single" w:color="000000" w:sz="4" w:space="0"/>
            </w:tcBorders>
            <w:shd w:val="clear" w:color="000000" w:fill="FFFFFF"/>
            <w:vAlign w:val="center"/>
          </w:tcPr>
          <w:p>
            <w:pPr>
              <w:widowControl/>
              <w:jc w:val="center"/>
              <w:rPr>
                <w:rFonts w:ascii="Segoe UI" w:hAnsi="Segoe UI" w:eastAsia="宋体" w:cs="Segoe UI"/>
                <w:b/>
                <w:bCs/>
                <w:color w:val="404040"/>
                <w:kern w:val="0"/>
                <w:sz w:val="21"/>
                <w:szCs w:val="21"/>
              </w:rPr>
            </w:pPr>
            <w:r>
              <w:rPr>
                <w:rFonts w:ascii="Segoe UI" w:hAnsi="Segoe UI" w:eastAsia="宋体" w:cs="Segoe UI"/>
                <w:b/>
                <w:bCs/>
                <w:color w:val="404040"/>
                <w:kern w:val="0"/>
                <w:sz w:val="21"/>
                <w:szCs w:val="21"/>
              </w:rPr>
              <w:t>康复区</w:t>
            </w:r>
          </w:p>
        </w:tc>
        <w:tc>
          <w:tcPr>
            <w:tcW w:w="352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配置艾灸床、牵引设备等，床位≥5张，单床使用面积≥4㎡。</w:t>
            </w:r>
          </w:p>
        </w:tc>
        <w:tc>
          <w:tcPr>
            <w:tcW w:w="3827"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配置艾灸床、牵引设备等，床位≥30张，单床使用面积≥5㎡。</w:t>
            </w:r>
          </w:p>
        </w:tc>
      </w:tr>
      <w:tr>
        <w:tblPrEx>
          <w:tblCellMar>
            <w:top w:w="0" w:type="dxa"/>
            <w:left w:w="108" w:type="dxa"/>
            <w:bottom w:w="0" w:type="dxa"/>
            <w:right w:w="108" w:type="dxa"/>
          </w:tblCellMar>
        </w:tblPrEx>
        <w:trPr>
          <w:trHeight w:val="1002" w:hRule="atLeast"/>
        </w:trPr>
        <w:tc>
          <w:tcPr>
            <w:tcW w:w="1440" w:type="dxa"/>
            <w:tcBorders>
              <w:top w:val="nil"/>
              <w:left w:val="single" w:color="000000" w:sz="4" w:space="0"/>
              <w:bottom w:val="single" w:color="000000" w:sz="4" w:space="0"/>
              <w:right w:val="single" w:color="000000" w:sz="4" w:space="0"/>
            </w:tcBorders>
            <w:shd w:val="clear" w:color="000000" w:fill="FFFFFF"/>
            <w:vAlign w:val="center"/>
          </w:tcPr>
          <w:p>
            <w:pPr>
              <w:widowControl/>
              <w:jc w:val="center"/>
              <w:rPr>
                <w:rFonts w:ascii="Segoe UI" w:hAnsi="Segoe UI" w:eastAsia="宋体" w:cs="Segoe UI"/>
                <w:b/>
                <w:bCs/>
                <w:color w:val="404040"/>
                <w:kern w:val="0"/>
                <w:sz w:val="21"/>
                <w:szCs w:val="21"/>
              </w:rPr>
            </w:pPr>
            <w:r>
              <w:rPr>
                <w:rFonts w:ascii="Segoe UI" w:hAnsi="Segoe UI" w:eastAsia="宋体" w:cs="Segoe UI"/>
                <w:b/>
                <w:bCs/>
                <w:color w:val="404040"/>
                <w:kern w:val="0"/>
                <w:sz w:val="21"/>
                <w:szCs w:val="21"/>
              </w:rPr>
              <w:t>文化展示区</w:t>
            </w:r>
          </w:p>
        </w:tc>
        <w:tc>
          <w:tcPr>
            <w:tcW w:w="352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设置仲景文化墙、非药物疗法器具展柜，面积≥4㎡。</w:t>
            </w:r>
          </w:p>
        </w:tc>
        <w:tc>
          <w:tcPr>
            <w:tcW w:w="3827"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设置仲景文化墙、非药物疗法器具展柜，面积≥20㎡。</w:t>
            </w:r>
          </w:p>
        </w:tc>
      </w:tr>
      <w:tr>
        <w:tblPrEx>
          <w:tblCellMar>
            <w:top w:w="0" w:type="dxa"/>
            <w:left w:w="108" w:type="dxa"/>
            <w:bottom w:w="0" w:type="dxa"/>
            <w:right w:w="108" w:type="dxa"/>
          </w:tblCellMar>
        </w:tblPrEx>
        <w:trPr>
          <w:trHeight w:val="1002" w:hRule="atLeast"/>
        </w:trPr>
        <w:tc>
          <w:tcPr>
            <w:tcW w:w="1440" w:type="dxa"/>
            <w:tcBorders>
              <w:top w:val="nil"/>
              <w:left w:val="single" w:color="000000" w:sz="4" w:space="0"/>
              <w:bottom w:val="single" w:color="000000" w:sz="4" w:space="0"/>
              <w:right w:val="single" w:color="000000" w:sz="4" w:space="0"/>
            </w:tcBorders>
            <w:shd w:val="clear" w:color="000000" w:fill="FFFFFF"/>
            <w:vAlign w:val="center"/>
          </w:tcPr>
          <w:p>
            <w:pPr>
              <w:widowControl/>
              <w:jc w:val="center"/>
              <w:rPr>
                <w:rFonts w:ascii="Segoe UI" w:hAnsi="Segoe UI" w:eastAsia="宋体" w:cs="Segoe UI"/>
                <w:b/>
                <w:bCs/>
                <w:color w:val="404040"/>
                <w:kern w:val="0"/>
                <w:sz w:val="21"/>
                <w:szCs w:val="21"/>
              </w:rPr>
            </w:pPr>
            <w:r>
              <w:rPr>
                <w:rFonts w:ascii="Segoe UI" w:hAnsi="Segoe UI" w:eastAsia="宋体" w:cs="Segoe UI"/>
                <w:b/>
                <w:bCs/>
                <w:color w:val="404040"/>
                <w:kern w:val="0"/>
                <w:sz w:val="21"/>
                <w:szCs w:val="21"/>
              </w:rPr>
              <w:t>候诊区</w:t>
            </w:r>
          </w:p>
        </w:tc>
        <w:tc>
          <w:tcPr>
            <w:tcW w:w="3522"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配备服务导台、中医药科普资料、座椅，面积≥10㎡。</w:t>
            </w:r>
          </w:p>
        </w:tc>
        <w:tc>
          <w:tcPr>
            <w:tcW w:w="3827" w:type="dxa"/>
            <w:tcBorders>
              <w:top w:val="nil"/>
              <w:left w:val="nil"/>
              <w:bottom w:val="single" w:color="000000" w:sz="4" w:space="0"/>
              <w:right w:val="single" w:color="000000" w:sz="4" w:space="0"/>
            </w:tcBorders>
            <w:shd w:val="clear" w:color="000000" w:fill="FFFFFF"/>
            <w:vAlign w:val="center"/>
          </w:tcPr>
          <w:p>
            <w:pPr>
              <w:widowControl/>
              <w:jc w:val="center"/>
              <w:rPr>
                <w:rFonts w:hint="eastAsia" w:ascii="宋体" w:hAnsi="Times New Roman" w:eastAsia="宋体" w:cs="Times New Roman"/>
                <w:kern w:val="0"/>
                <w:sz w:val="21"/>
                <w:szCs w:val="21"/>
                <w:lang w:val="en-US" w:eastAsia="zh-CN" w:bidi="ar-SA"/>
              </w:rPr>
            </w:pPr>
            <w:r>
              <w:rPr>
                <w:rFonts w:hint="eastAsia" w:ascii="宋体" w:hAnsi="Times New Roman" w:eastAsia="宋体" w:cs="Times New Roman"/>
                <w:kern w:val="0"/>
                <w:sz w:val="21"/>
                <w:szCs w:val="21"/>
                <w:lang w:val="en-US" w:eastAsia="zh-CN" w:bidi="ar-SA"/>
              </w:rPr>
              <w:t>配备服务导台、中医药科普资料、座椅、茶饮台，活动DP点，面积≥15㎡。</w:t>
            </w:r>
          </w:p>
        </w:tc>
      </w:tr>
    </w:tbl>
    <w:p>
      <w:pPr>
        <w:pStyle w:val="56"/>
        <w:ind w:left="0" w:leftChars="0" w:firstLine="0" w:firstLineChars="0"/>
        <w:rPr>
          <w:rFonts w:hint="eastAsia" w:ascii="黑体" w:hAnsi="Times New Roman" w:eastAsia="黑体" w:cs="Times New Roman"/>
          <w:sz w:val="21"/>
          <w:szCs w:val="21"/>
          <w:lang w:val="en-US" w:eastAsia="zh-CN" w:bidi="ar-SA"/>
        </w:rPr>
      </w:pP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7.2 装修标准  </w:t>
      </w:r>
    </w:p>
    <w:p>
      <w:pPr>
        <w:pStyle w:val="56"/>
        <w:ind w:firstLine="420"/>
        <w:rPr>
          <w:rFonts w:hint="eastAsia"/>
        </w:rPr>
      </w:pPr>
      <w:r>
        <w:rPr>
          <w:rFonts w:hint="eastAsia"/>
        </w:rPr>
        <w:t xml:space="preserve"> 外立面：采用仿古中式风格，枣红色窗框搭配灰色檐口；  </w:t>
      </w:r>
    </w:p>
    <w:p>
      <w:pPr>
        <w:pStyle w:val="56"/>
        <w:ind w:firstLine="420"/>
        <w:rPr>
          <w:rFonts w:hint="eastAsia"/>
        </w:rPr>
      </w:pPr>
      <w:r>
        <w:rPr>
          <w:rFonts w:hint="eastAsia"/>
        </w:rPr>
        <w:t xml:space="preserve"> 室内装饰：墙面以白色为主，地面采用防滑地砖，融入中医药文化元素；  </w:t>
      </w:r>
    </w:p>
    <w:p>
      <w:pPr>
        <w:pStyle w:val="56"/>
        <w:ind w:firstLine="420"/>
        <w:rPr>
          <w:rFonts w:hint="eastAsia"/>
        </w:rPr>
      </w:pPr>
      <w:r>
        <w:rPr>
          <w:rFonts w:hint="eastAsia"/>
        </w:rPr>
        <w:t xml:space="preserve"> 标识系统：统一使用“地名+经方阁”命名，标识醒目。  </w:t>
      </w:r>
    </w:p>
    <w:p>
      <w:pPr>
        <w:pStyle w:val="56"/>
        <w:ind w:firstLine="420"/>
        <w:rPr>
          <w:rFonts w:hint="eastAsia"/>
        </w:rPr>
      </w:pPr>
    </w:p>
    <w:p>
      <w:pPr>
        <w:pStyle w:val="104"/>
        <w:spacing w:before="312" w:after="312"/>
        <w:rPr>
          <w:rFonts w:hint="eastAsia"/>
          <w:szCs w:val="21"/>
          <w:lang w:val="en-US" w:eastAsia="zh-CN"/>
        </w:rPr>
      </w:pPr>
      <w:bookmarkStart w:id="62" w:name="_Toc1674465606_WPSOffice_Level1"/>
      <w:r>
        <w:rPr>
          <w:rFonts w:hint="eastAsia"/>
          <w:szCs w:val="21"/>
          <w:lang w:val="en-US" w:eastAsia="zh-CN"/>
        </w:rPr>
        <w:t>设施设备配置</w:t>
      </w:r>
      <w:bookmarkEnd w:id="62"/>
      <w:r>
        <w:rPr>
          <w:rFonts w:hint="eastAsia"/>
          <w:szCs w:val="21"/>
          <w:lang w:val="en-US" w:eastAsia="zh-CN"/>
        </w:rPr>
        <w:t xml:space="preserve">  </w:t>
      </w: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8.1 基础设备  </w:t>
      </w:r>
    </w:p>
    <w:p>
      <w:pPr>
        <w:pStyle w:val="56"/>
        <w:ind w:firstLine="420"/>
        <w:rPr>
          <w:rFonts w:hint="eastAsia"/>
        </w:rPr>
      </w:pPr>
      <w:r>
        <w:rPr>
          <w:rFonts w:hint="eastAsia"/>
        </w:rPr>
        <w:t xml:space="preserve"> 中医四诊仪、艾灸治疗床、红外线理疗仪、中药熏蒸设备。  </w:t>
      </w:r>
    </w:p>
    <w:p>
      <w:pPr>
        <w:pStyle w:val="56"/>
        <w:ind w:firstLine="420"/>
        <w:rPr>
          <w:rFonts w:hint="eastAsia"/>
        </w:rPr>
      </w:pP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8.2 信息化系统  </w:t>
      </w:r>
    </w:p>
    <w:p>
      <w:pPr>
        <w:pStyle w:val="56"/>
        <w:ind w:firstLine="420"/>
        <w:rPr>
          <w:rFonts w:hint="eastAsia"/>
        </w:rPr>
      </w:pPr>
      <w:r>
        <w:rPr>
          <w:rFonts w:hint="eastAsia"/>
        </w:rPr>
        <w:t xml:space="preserve"> 接入区域医疗信息平台，实现电子病历共享（可选）；  </w:t>
      </w:r>
    </w:p>
    <w:p>
      <w:pPr>
        <w:pStyle w:val="56"/>
        <w:ind w:firstLine="420"/>
        <w:rPr>
          <w:rFonts w:hint="eastAsia"/>
        </w:rPr>
      </w:pPr>
      <w:r>
        <w:rPr>
          <w:rFonts w:hint="eastAsia"/>
        </w:rPr>
        <w:t xml:space="preserve"> 配置远程会诊终端，支持与上级医院协作（可选）。  </w:t>
      </w:r>
    </w:p>
    <w:p>
      <w:pPr>
        <w:pStyle w:val="56"/>
        <w:ind w:firstLine="420"/>
        <w:rPr>
          <w:rFonts w:hint="eastAsia"/>
        </w:rPr>
      </w:pPr>
    </w:p>
    <w:p>
      <w:pPr>
        <w:pStyle w:val="104"/>
        <w:spacing w:before="312" w:after="312"/>
        <w:rPr>
          <w:rFonts w:hint="eastAsia"/>
          <w:szCs w:val="21"/>
          <w:lang w:val="en-US" w:eastAsia="zh-CN"/>
        </w:rPr>
      </w:pPr>
      <w:bookmarkStart w:id="63" w:name="_Toc1647483980_WPSOffice_Level1"/>
      <w:r>
        <w:rPr>
          <w:rFonts w:hint="eastAsia"/>
          <w:szCs w:val="21"/>
          <w:lang w:val="en-US" w:eastAsia="zh-CN"/>
        </w:rPr>
        <w:t>运营服务要求</w:t>
      </w:r>
      <w:bookmarkEnd w:id="63"/>
      <w:r>
        <w:rPr>
          <w:rFonts w:hint="eastAsia"/>
          <w:szCs w:val="21"/>
          <w:lang w:val="en-US" w:eastAsia="zh-CN"/>
        </w:rPr>
        <w:t xml:space="preserve">  </w:t>
      </w: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9.1 服务内容  </w:t>
      </w:r>
    </w:p>
    <w:p>
      <w:pPr>
        <w:pStyle w:val="56"/>
        <w:ind w:firstLine="420"/>
        <w:rPr>
          <w:rFonts w:hint="eastAsia"/>
        </w:rPr>
      </w:pPr>
      <w:r>
        <w:rPr>
          <w:rFonts w:hint="eastAsia"/>
        </w:rPr>
        <w:t xml:space="preserve"> 基本服务：慢性颈肩腰腿痛及疼痛诊疗、中医康复、健康咨询；  </w:t>
      </w:r>
    </w:p>
    <w:p>
      <w:pPr>
        <w:pStyle w:val="56"/>
        <w:ind w:firstLine="420"/>
        <w:rPr>
          <w:rFonts w:hint="eastAsia"/>
        </w:rPr>
      </w:pPr>
      <w:r>
        <w:rPr>
          <w:rFonts w:hint="eastAsia"/>
        </w:rPr>
        <w:t xml:space="preserve"> 特色服务：针灸、艾灸、督灸等注中医药适宜技术疗法。</w:t>
      </w:r>
    </w:p>
    <w:p>
      <w:pPr>
        <w:pStyle w:val="56"/>
        <w:ind w:firstLine="420"/>
        <w:rPr>
          <w:rFonts w:hint="eastAsia"/>
        </w:rPr>
      </w:pPr>
    </w:p>
    <w:p>
      <w:pPr>
        <w:pStyle w:val="56"/>
        <w:ind w:left="0" w:leftChars="0" w:firstLine="0" w:firstLineChars="0"/>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 9.2 质量管理  </w:t>
      </w:r>
    </w:p>
    <w:p>
      <w:pPr>
        <w:pStyle w:val="56"/>
        <w:ind w:firstLine="420"/>
        <w:rPr>
          <w:rFonts w:hint="eastAsia"/>
        </w:rPr>
      </w:pPr>
      <w:r>
        <w:rPr>
          <w:rFonts w:hint="eastAsia"/>
        </w:rPr>
        <w:t xml:space="preserve"> 建立服务评价体系，患者满意度≥90%；  </w:t>
      </w:r>
    </w:p>
    <w:p>
      <w:pPr>
        <w:pStyle w:val="56"/>
        <w:ind w:firstLine="420"/>
        <w:rPr>
          <w:rFonts w:hint="eastAsia"/>
        </w:rPr>
      </w:pPr>
      <w:r>
        <w:rPr>
          <w:rFonts w:hint="eastAsia"/>
        </w:rPr>
        <w:t xml:space="preserve"> 每季度开展技术培训，年度考核不合格者暂停执业。  </w:t>
      </w:r>
    </w:p>
    <w:p>
      <w:pPr>
        <w:pStyle w:val="56"/>
        <w:ind w:firstLine="420"/>
        <w:rPr>
          <w:rFonts w:hint="eastAsia"/>
        </w:rPr>
      </w:pPr>
    </w:p>
    <w:p>
      <w:pPr>
        <w:pStyle w:val="104"/>
        <w:spacing w:before="312" w:after="312"/>
        <w:rPr>
          <w:rFonts w:hint="eastAsia"/>
          <w:szCs w:val="21"/>
          <w:lang w:val="en-US" w:eastAsia="zh-CN"/>
        </w:rPr>
      </w:pPr>
      <w:bookmarkStart w:id="64" w:name="_Toc1640502380_WPSOffice_Level1"/>
      <w:r>
        <w:rPr>
          <w:rFonts w:hint="eastAsia"/>
          <w:szCs w:val="21"/>
          <w:lang w:val="en-US" w:eastAsia="zh-CN"/>
        </w:rPr>
        <w:t>安全管理与应急措施</w:t>
      </w:r>
      <w:bookmarkEnd w:id="64"/>
      <w:r>
        <w:rPr>
          <w:rFonts w:hint="eastAsia"/>
          <w:szCs w:val="21"/>
          <w:lang w:val="en-US" w:eastAsia="zh-CN"/>
        </w:rPr>
        <w:t xml:space="preserve">  </w:t>
      </w:r>
    </w:p>
    <w:p>
      <w:pPr>
        <w:pStyle w:val="56"/>
        <w:ind w:firstLine="420"/>
        <w:rPr>
          <w:rFonts w:hint="eastAsia"/>
        </w:rPr>
      </w:pPr>
      <w:r>
        <w:rPr>
          <w:rFonts w:hint="eastAsia"/>
        </w:rPr>
        <w:t xml:space="preserve"> 消防配置：按GB 50016—2014设置烟感报警器、灭火器等；  </w:t>
      </w:r>
    </w:p>
    <w:p>
      <w:pPr>
        <w:pStyle w:val="56"/>
        <w:ind w:firstLine="420"/>
        <w:rPr>
          <w:rFonts w:hint="eastAsia"/>
        </w:rPr>
      </w:pPr>
      <w:r>
        <w:rPr>
          <w:rFonts w:hint="eastAsia"/>
        </w:rPr>
        <w:t xml:space="preserve"> 感染控制：严格执行WS/T 367—2012医疗机构消毒技术规范；  </w:t>
      </w:r>
    </w:p>
    <w:p>
      <w:pPr>
        <w:pStyle w:val="56"/>
        <w:ind w:firstLine="420"/>
        <w:rPr>
          <w:rFonts w:hint="eastAsia"/>
        </w:rPr>
      </w:pPr>
      <w:r>
        <w:rPr>
          <w:rFonts w:hint="eastAsia"/>
        </w:rPr>
        <w:t xml:space="preserve"> 应急预案：制定火灾、医疗纠纷等突发事件处置流程。</w:t>
      </w:r>
    </w:p>
    <w:p>
      <w:pPr>
        <w:rPr>
          <w:rFonts w:hint="eastAsia"/>
        </w:rPr>
      </w:pPr>
      <w:r>
        <w:rPr>
          <w:rFonts w:hint="eastAsia"/>
        </w:rPr>
        <w:br w:type="page"/>
      </w:r>
    </w:p>
    <w:p>
      <w:pPr>
        <w:pStyle w:val="56"/>
        <w:ind w:firstLine="420"/>
        <w:rPr>
          <w:rFonts w:hint="eastAsia"/>
        </w:rPr>
      </w:pPr>
    </w:p>
    <w:p>
      <w:pPr>
        <w:pStyle w:val="56"/>
        <w:ind w:firstLine="420"/>
        <w:rPr>
          <w:rFonts w:hint="eastAsia"/>
        </w:rPr>
      </w:pPr>
    </w:p>
    <w:p>
      <w:pPr>
        <w:pStyle w:val="56"/>
        <w:ind w:left="0" w:leftChars="0" w:firstLine="0" w:firstLineChars="0"/>
        <w:jc w:val="center"/>
        <w:rPr>
          <w:rFonts w:hint="eastAsia"/>
        </w:rPr>
      </w:pPr>
      <w:bookmarkStart w:id="65" w:name="_Toc1060784005_WPSOffice_Level1"/>
      <w:r>
        <w:rPr>
          <w:rFonts w:hint="eastAsia" w:ascii="方正黑体_GBK" w:hAnsi="方正黑体_GBK" w:eastAsia="方正黑体_GBK" w:cs="方正黑体_GBK"/>
        </w:rPr>
        <w:t>参考文献</w:t>
      </w:r>
      <w:bookmarkEnd w:id="65"/>
    </w:p>
    <w:p>
      <w:pPr>
        <w:pStyle w:val="56"/>
        <w:ind w:firstLine="420"/>
        <w:rPr>
          <w:rFonts w:hint="eastAsia"/>
        </w:rPr>
      </w:pPr>
    </w:p>
    <w:p>
      <w:pPr>
        <w:pStyle w:val="56"/>
        <w:ind w:firstLine="420"/>
        <w:rPr>
          <w:rFonts w:hint="eastAsia"/>
        </w:rPr>
      </w:pPr>
      <w:bookmarkStart w:id="66" w:name="_Toc2050831842_WPSOffice_Level1"/>
      <w:r>
        <w:rPr>
          <w:rFonts w:hint="eastAsia"/>
        </w:rPr>
        <w:t>[1] 国家中医药管理局. 中医医疗技术目录. 2023.</w:t>
      </w:r>
      <w:bookmarkEnd w:id="66"/>
      <w:r>
        <w:rPr>
          <w:rFonts w:hint="eastAsia"/>
        </w:rPr>
        <w:t xml:space="preserve">  </w:t>
      </w:r>
    </w:p>
    <w:p>
      <w:pPr>
        <w:pStyle w:val="56"/>
        <w:ind w:firstLine="420"/>
        <w:rPr>
          <w:rFonts w:hint="eastAsia"/>
        </w:rPr>
      </w:pPr>
      <w:bookmarkStart w:id="67" w:name="_Toc926050620_WPSOffice_Level1"/>
      <w:r>
        <w:rPr>
          <w:rFonts w:hint="eastAsia"/>
        </w:rPr>
        <w:t>[2] 国务院办公厅.中医药振兴发展重大工程实施方案》（2022年）</w:t>
      </w:r>
      <w:bookmarkEnd w:id="67"/>
    </w:p>
    <w:p>
      <w:pPr>
        <w:pStyle w:val="56"/>
        <w:ind w:firstLine="420"/>
        <w:rPr>
          <w:rFonts w:hint="eastAsia"/>
        </w:rPr>
      </w:pPr>
      <w:bookmarkStart w:id="68" w:name="_Toc1512252995_WPSOffice_Level1"/>
      <w:r>
        <w:rPr>
          <w:rFonts w:hint="eastAsia"/>
        </w:rPr>
        <w:t>[3] 河南省卫生健康委.河南省“十四五”中医药发展规划</w:t>
      </w:r>
      <w:bookmarkEnd w:id="68"/>
    </w:p>
    <w:p>
      <w:pPr>
        <w:pStyle w:val="56"/>
        <w:ind w:firstLine="420"/>
      </w:pPr>
      <w:bookmarkStart w:id="69" w:name="_Toc533097887_WPSOffice_Level1"/>
      <w:r>
        <w:rPr>
          <w:rFonts w:hint="eastAsia"/>
        </w:rPr>
        <w:t>[4] 南阳市中医院.张仲景经方阁运营管理手册. 2024.</w:t>
      </w:r>
      <w:bookmarkEnd w:id="69"/>
      <w:r>
        <w:rPr>
          <w:rFonts w:hint="eastAsia"/>
        </w:rPr>
        <w:t xml:space="preserve"> </w:t>
      </w:r>
    </w:p>
    <w:bookmarkEnd w:id="32"/>
    <w:p>
      <w:pPr>
        <w:pStyle w:val="56"/>
        <w:ind w:firstLine="0" w:firstLineChars="0"/>
        <w:jc w:val="center"/>
      </w:pPr>
      <w:bookmarkStart w:id="70" w:name="BookMark8"/>
      <w:r>
        <w:drawing>
          <wp:inline distT="0" distB="0" distL="0" distR="0">
            <wp:extent cx="1485900" cy="317500"/>
            <wp:effectExtent l="0" t="0" r="0" b="6350"/>
            <wp:docPr id="177634201" name="图片 1"/>
            <wp:cNvGraphicFramePr/>
            <a:graphic xmlns:a="http://schemas.openxmlformats.org/drawingml/2006/main">
              <a:graphicData uri="http://schemas.openxmlformats.org/drawingml/2006/picture">
                <pic:pic xmlns:pic="http://schemas.openxmlformats.org/drawingml/2006/picture">
                  <pic:nvPicPr>
                    <pic:cNvPr id="177634201" name="图片 1"/>
                    <pic:cNvPicPr/>
                  </pic:nvPicPr>
                  <pic:blipFill>
                    <a:blip r:embed="rId16">
                      <a:extLst>
                        <a:ext uri="{28A0092B-C50C-407E-A947-70E740481C1C}">
                          <a14:useLocalDpi xmlns:a14="http://schemas.microsoft.com/office/drawing/2010/main" val="false"/>
                        </a:ext>
                      </a:extLst>
                    </a:blip>
                    <a:stretch>
                      <a:fillRect/>
                    </a:stretch>
                  </pic:blipFill>
                  <pic:spPr>
                    <a:xfrm>
                      <a:off x="0" y="0"/>
                      <a:ext cx="1485900" cy="317500"/>
                    </a:xfrm>
                    <a:prstGeom prst="rect">
                      <a:avLst/>
                    </a:prstGeom>
                  </pic:spPr>
                </pic:pic>
              </a:graphicData>
            </a:graphic>
          </wp:inline>
        </w:drawing>
      </w:r>
      <w:bookmarkEnd w:id="70"/>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Liberation Serif">
    <w:panose1 w:val="02020603050405020304"/>
    <w:charset w:val="00"/>
    <w:family w:val="auto"/>
    <w:pitch w:val="default"/>
    <w:sig w:usb0="A00002AF" w:usb1="500078FB" w:usb2="00000000" w:usb3="00000000" w:csb0="6000009F" w:csb1="DFD70000"/>
  </w:font>
  <w:font w:name="Standard Symbols PS">
    <w:panose1 w:val="05050102010706020507"/>
    <w:charset w:val="00"/>
    <w:family w:val="auto"/>
    <w:pitch w:val="default"/>
    <w:sig w:usb0="00000003"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Segoe UI">
    <w:altName w:val="Noto Music"/>
    <w:panose1 w:val="020B0502040204020203"/>
    <w:charset w:val="00"/>
    <w:family w:val="swiss"/>
    <w:pitch w:val="default"/>
    <w:sig w:usb0="00000000" w:usb1="00000000" w:usb2="00000009" w:usb3="00000000" w:csb0="000001FF" w:csb1="00000000"/>
  </w:font>
  <w:font w:name="Noto Music">
    <w:panose1 w:val="020B0502040504020204"/>
    <w:charset w:val="00"/>
    <w:family w:val="auto"/>
    <w:pitch w:val="default"/>
    <w:sig w:usb0="00000003" w:usb1="02006000" w:usb2="01000000" w:usb3="00000000" w:csb0="00000001" w:csb1="00000000"/>
  </w:font>
  <w:font w:name="方正宋体S-超大字符集">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4113/T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4113/T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0A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07AC4"/>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0AC"/>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8B77D7"/>
    <w:rsid w:val="3BCD4FFD"/>
    <w:rsid w:val="5EDB27F5"/>
    <w:rsid w:val="5EF3B366"/>
    <w:rsid w:val="7FBF57C4"/>
    <w:rsid w:val="97F993C5"/>
    <w:rsid w:val="BF7F581C"/>
    <w:rsid w:val="D9D71624"/>
    <w:rsid w:val="DFFF5990"/>
    <w:rsid w:val="F73A2140"/>
    <w:rsid w:val="FEBF244A"/>
    <w:rsid w:val="FF7D13CE"/>
    <w:rsid w:val="FF9D6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WPSOffice手动目录 1"/>
    <w:uiPriority w:val="0"/>
    <w:pPr>
      <w:ind w:leftChars="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nys/.cxoffice/wechat/drive_c/Program%20Files/Tencent/WeChat/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8207E99AF564D79AD432858DCE58CFE"/>
        <w:style w:val=""/>
        <w:category>
          <w:name w:val="常规"/>
          <w:gallery w:val="placeholder"/>
        </w:category>
        <w:types>
          <w:type w:val="bbPlcHdr"/>
        </w:types>
        <w:behaviors>
          <w:behavior w:val="content"/>
        </w:behaviors>
        <w:description w:val=""/>
        <w:guid w:val="{7DCF8A28-4BB6-4B19-8066-59BBA00097E9}"/>
      </w:docPartPr>
      <w:docPartBody>
        <w:p>
          <w:pPr>
            <w:pStyle w:val="5"/>
          </w:pPr>
          <w:r>
            <w:rPr>
              <w:rStyle w:val="4"/>
              <w:rFonts w:hint="eastAsia"/>
            </w:rPr>
            <w:t>单击或点击此处输入文字。</w:t>
          </w:r>
        </w:p>
      </w:docPartBody>
    </w:docPart>
    <w:docPart>
      <w:docPartPr>
        <w:name w:val="8D02658FCB1244B591B5A83527E30FAD"/>
        <w:style w:val=""/>
        <w:category>
          <w:name w:val="常规"/>
          <w:gallery w:val="placeholder"/>
        </w:category>
        <w:types>
          <w:type w:val="bbPlcHdr"/>
        </w:types>
        <w:behaviors>
          <w:behavior w:val="content"/>
        </w:behaviors>
        <w:description w:val=""/>
        <w:guid w:val="{76C051C0-EFE5-4667-B94B-F4762A2A8D51}"/>
      </w:docPartPr>
      <w:docPartBody>
        <w:p>
          <w:pPr>
            <w:pStyle w:val="6"/>
          </w:pPr>
          <w:r>
            <w:rPr>
              <w:rStyle w:val="4"/>
              <w:rFonts w:hint="eastAsia"/>
            </w:rPr>
            <w:t>选择一项。</w:t>
          </w:r>
        </w:p>
      </w:docPartBody>
    </w:docPart>
    <w:docPart>
      <w:docPartPr>
        <w:name w:val="6E8A5678FB2D44C884636A50CF2780CA"/>
        <w:style w:val=""/>
        <w:category>
          <w:name w:val="常规"/>
          <w:gallery w:val="placeholder"/>
        </w:category>
        <w:types>
          <w:type w:val="bbPlcHdr"/>
        </w:types>
        <w:behaviors>
          <w:behavior w:val="content"/>
        </w:behaviors>
        <w:description w:val=""/>
        <w:guid w:val="{E3816F5C-351C-4B50-89AC-4053F5D0BB27}"/>
      </w:docPartPr>
      <w:docPartBody>
        <w:p>
          <w:pPr>
            <w:pStyle w:val="7"/>
          </w:pPr>
          <w:r>
            <w:rPr>
              <w:rStyle w:val="4"/>
              <w:rFonts w:hint="eastAsia"/>
            </w:rPr>
            <w:t>选择一项。</w:t>
          </w:r>
        </w:p>
      </w:docPartBody>
    </w:docPart>
    <w:docPart>
      <w:docPartPr>
        <w:name w:val="{ab66dce2-5ea3-4405-a0ce-5f0bf66e930b}"/>
        <w:style w:val=""/>
        <w:category>
          <w:name w:val="常规"/>
          <w:gallery w:val="placeholder"/>
        </w:category>
        <w:types>
          <w:type w:val="bbPlcHdr"/>
        </w:types>
        <w:behaviors>
          <w:behavior w:val="content"/>
        </w:behaviors>
        <w:description w:val=""/>
        <w:guid w:val="{ab66dce2-5ea3-4405-a0ce-5f0bf66e930b}"/>
      </w:docPartPr>
      <w:docPartBody>
        <w:p>
          <w:r>
            <w:rPr>
              <w:color w:val="808080"/>
            </w:rPr>
            <w:t>单击此处输入文字。</w:t>
          </w:r>
        </w:p>
      </w:docPartBody>
    </w:docPart>
    <w:docPart>
      <w:docPartPr>
        <w:name w:val="{cce4f5e1-46d3-4a0e-b695-e2b6f18d39da}"/>
        <w:style w:val=""/>
        <w:category>
          <w:name w:val="常规"/>
          <w:gallery w:val="placeholder"/>
        </w:category>
        <w:types>
          <w:type w:val="bbPlcHdr"/>
        </w:types>
        <w:behaviors>
          <w:behavior w:val="content"/>
        </w:behaviors>
        <w:description w:val=""/>
        <w:guid w:val="{cce4f5e1-46d3-4a0e-b695-e2b6f18d39da}"/>
      </w:docPartPr>
      <w:docPartBody>
        <w:p>
          <w:r>
            <w:rPr>
              <w:color w:val="808080"/>
            </w:rPr>
            <w:t>单击此处输入文字。</w:t>
          </w:r>
        </w:p>
      </w:docPartBody>
    </w:docPart>
    <w:docPart>
      <w:docPartPr>
        <w:name w:val="{59030de8-4f0b-4206-b44b-36040ad108b5}"/>
        <w:style w:val=""/>
        <w:category>
          <w:name w:val="常规"/>
          <w:gallery w:val="placeholder"/>
        </w:category>
        <w:types>
          <w:type w:val="bbPlcHdr"/>
        </w:types>
        <w:behaviors>
          <w:behavior w:val="content"/>
        </w:behaviors>
        <w:description w:val=""/>
        <w:guid w:val="{59030de8-4f0b-4206-b44b-36040ad108b5}"/>
      </w:docPartPr>
      <w:docPartBody>
        <w:p>
          <w:r>
            <w:rPr>
              <w:color w:val="808080"/>
            </w:rPr>
            <w:t>单击此处输入文字。</w:t>
          </w:r>
        </w:p>
      </w:docPartBody>
    </w:docPart>
    <w:docPart>
      <w:docPartPr>
        <w:name w:val="{1990b387-698d-48f4-8705-c80a2b03beb0}"/>
        <w:style w:val=""/>
        <w:category>
          <w:name w:val="常规"/>
          <w:gallery w:val="placeholder"/>
        </w:category>
        <w:types>
          <w:type w:val="bbPlcHdr"/>
        </w:types>
        <w:behaviors>
          <w:behavior w:val="content"/>
        </w:behaviors>
        <w:description w:val=""/>
        <w:guid w:val="{1990b387-698d-48f4-8705-c80a2b03beb0}"/>
      </w:docPartPr>
      <w:docPartBody>
        <w:p>
          <w:r>
            <w:rPr>
              <w:color w:val="808080"/>
            </w:rPr>
            <w:t>单击此处输入文字。</w:t>
          </w:r>
        </w:p>
      </w:docPartBody>
    </w:docPart>
    <w:docPart>
      <w:docPartPr>
        <w:name w:val="{079235f3-5beb-4510-92cc-440694018819}"/>
        <w:style w:val=""/>
        <w:category>
          <w:name w:val="常规"/>
          <w:gallery w:val="placeholder"/>
        </w:category>
        <w:types>
          <w:type w:val="bbPlcHdr"/>
        </w:types>
        <w:behaviors>
          <w:behavior w:val="content"/>
        </w:behaviors>
        <w:description w:val=""/>
        <w:guid w:val="{079235f3-5beb-4510-92cc-440694018819}"/>
      </w:docPartPr>
      <w:docPartBody>
        <w:p>
          <w:r>
            <w:rPr>
              <w:color w:val="808080"/>
            </w:rPr>
            <w:t>单击此处输入文字。</w:t>
          </w:r>
        </w:p>
      </w:docPartBody>
    </w:docPart>
    <w:docPart>
      <w:docPartPr>
        <w:name w:val="{8e8a4e96-bbf8-46e2-a9f7-8fcb536e02c6}"/>
        <w:style w:val=""/>
        <w:category>
          <w:name w:val="常规"/>
          <w:gallery w:val="placeholder"/>
        </w:category>
        <w:types>
          <w:type w:val="bbPlcHdr"/>
        </w:types>
        <w:behaviors>
          <w:behavior w:val="content"/>
        </w:behaviors>
        <w:description w:val=""/>
        <w:guid w:val="{8e8a4e96-bbf8-46e2-a9f7-8fcb536e02c6}"/>
      </w:docPartPr>
      <w:docPartBody>
        <w:p>
          <w:r>
            <w:rPr>
              <w:color w:val="808080"/>
            </w:rPr>
            <w:t>单击此处输入文字。</w:t>
          </w:r>
        </w:p>
      </w:docPartBody>
    </w:docPart>
    <w:docPart>
      <w:docPartPr>
        <w:name w:val="{e2f4a1a8-5394-4406-be8b-317b48fa7065}"/>
        <w:style w:val=""/>
        <w:category>
          <w:name w:val="常规"/>
          <w:gallery w:val="placeholder"/>
        </w:category>
        <w:types>
          <w:type w:val="bbPlcHdr"/>
        </w:types>
        <w:behaviors>
          <w:behavior w:val="content"/>
        </w:behaviors>
        <w:description w:val=""/>
        <w:guid w:val="{e2f4a1a8-5394-4406-be8b-317b48fa7065}"/>
      </w:docPartPr>
      <w:docPartBody>
        <w:p>
          <w:r>
            <w:rPr>
              <w:color w:val="808080"/>
            </w:rPr>
            <w:t>单击此处输入文字。</w:t>
          </w:r>
        </w:p>
      </w:docPartBody>
    </w:docPart>
    <w:docPart>
      <w:docPartPr>
        <w:name w:val="{c45f50f3-d974-4201-9cb7-156fea80b2c3}"/>
        <w:style w:val=""/>
        <w:category>
          <w:name w:val="常规"/>
          <w:gallery w:val="placeholder"/>
        </w:category>
        <w:types>
          <w:type w:val="bbPlcHdr"/>
        </w:types>
        <w:behaviors>
          <w:behavior w:val="content"/>
        </w:behaviors>
        <w:description w:val=""/>
        <w:guid w:val="{c45f50f3-d974-4201-9cb7-156fea80b2c3}"/>
      </w:docPartPr>
      <w:docPartBody>
        <w:p>
          <w:r>
            <w:rPr>
              <w:color w:val="808080"/>
            </w:rPr>
            <w:t>单击此处输入文字。</w:t>
          </w:r>
        </w:p>
      </w:docPartBody>
    </w:docPart>
    <w:docPart>
      <w:docPartPr>
        <w:name w:val="{e89fcf62-3928-420f-a509-9fe38bc42f2c}"/>
        <w:style w:val=""/>
        <w:category>
          <w:name w:val="常规"/>
          <w:gallery w:val="placeholder"/>
        </w:category>
        <w:types>
          <w:type w:val="bbPlcHdr"/>
        </w:types>
        <w:behaviors>
          <w:behavior w:val="content"/>
        </w:behaviors>
        <w:description w:val=""/>
        <w:guid w:val="{e89fcf62-3928-420f-a509-9fe38bc42f2c}"/>
      </w:docPartPr>
      <w:docPartBody>
        <w:p>
          <w:r>
            <w:rPr>
              <w:color w:val="808080"/>
            </w:rPr>
            <w:t>单击此处输入文字。</w:t>
          </w:r>
        </w:p>
      </w:docPartBody>
    </w:docPart>
    <w:docPart>
      <w:docPartPr>
        <w:name w:val="{dca5a935-4eb2-410b-91cf-4bd2a1730553}"/>
        <w:style w:val=""/>
        <w:category>
          <w:name w:val="常规"/>
          <w:gallery w:val="placeholder"/>
        </w:category>
        <w:types>
          <w:type w:val="bbPlcHdr"/>
        </w:types>
        <w:behaviors>
          <w:behavior w:val="content"/>
        </w:behaviors>
        <w:description w:val=""/>
        <w:guid w:val="{dca5a935-4eb2-410b-91cf-4bd2a1730553}"/>
      </w:docPartPr>
      <w:docPartBody>
        <w:p>
          <w:r>
            <w:rPr>
              <w:color w:val="808080"/>
            </w:rPr>
            <w:t>单击此处输入文字。</w:t>
          </w:r>
        </w:p>
      </w:docPartBody>
    </w:docPart>
    <w:docPart>
      <w:docPartPr>
        <w:name w:val="{65cd17b4-0eeb-43d9-82ae-d6cbbbfb0207}"/>
        <w:style w:val=""/>
        <w:category>
          <w:name w:val="常规"/>
          <w:gallery w:val="placeholder"/>
        </w:category>
        <w:types>
          <w:type w:val="bbPlcHdr"/>
        </w:types>
        <w:behaviors>
          <w:behavior w:val="content"/>
        </w:behaviors>
        <w:description w:val=""/>
        <w:guid w:val="{65cd17b4-0eeb-43d9-82ae-d6cbbbfb0207}"/>
      </w:docPartPr>
      <w:docPartBody>
        <w:p>
          <w:r>
            <w:rPr>
              <w:color w:val="808080"/>
            </w:rPr>
            <w:t>单击此处输入文字。</w:t>
          </w:r>
        </w:p>
      </w:docPartBody>
    </w:docPart>
    <w:docPart>
      <w:docPartPr>
        <w:name w:val="{aa304c88-83a8-4468-94a8-c3ffad23b27a}"/>
        <w:style w:val=""/>
        <w:category>
          <w:name w:val="常规"/>
          <w:gallery w:val="placeholder"/>
        </w:category>
        <w:types>
          <w:type w:val="bbPlcHdr"/>
        </w:types>
        <w:behaviors>
          <w:behavior w:val="content"/>
        </w:behaviors>
        <w:description w:val=""/>
        <w:guid w:val="{aa304c88-83a8-4468-94a8-c3ffad23b27a}"/>
      </w:docPartPr>
      <w:docPartBody>
        <w:p>
          <w:r>
            <w:rPr>
              <w:color w:val="808080"/>
            </w:rPr>
            <w:t>单击此处输入文字。</w:t>
          </w:r>
        </w:p>
      </w:docPartBody>
    </w:docPart>
    <w:docPart>
      <w:docPartPr>
        <w:name w:val="{2d446d8e-92aa-4077-a235-ef8c79dff8e0}"/>
        <w:style w:val=""/>
        <w:category>
          <w:name w:val="常规"/>
          <w:gallery w:val="placeholder"/>
        </w:category>
        <w:types>
          <w:type w:val="bbPlcHdr"/>
        </w:types>
        <w:behaviors>
          <w:behavior w:val="content"/>
        </w:behaviors>
        <w:description w:val=""/>
        <w:guid w:val="{2d446d8e-92aa-4077-a235-ef8c79dff8e0}"/>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华文仿宋"/>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华文仿宋">
    <w:panose1 w:val="02010600040101010101"/>
    <w:charset w:val="86"/>
    <w:family w:val="auto"/>
    <w:pitch w:val="default"/>
    <w:sig w:usb0="00000287" w:usb1="080F0000" w:usb2="00000000" w:usb3="00000000" w:csb0="0004009F" w:csb1="DFD70000"/>
  </w:font>
  <w:font w:name="URW Bookman">
    <w:panose1 w:val="00000400000000000000"/>
    <w:charset w:val="00"/>
    <w:family w:val="auto"/>
    <w:pitch w:val="default"/>
    <w:sig w:usb0="00000287" w:usb1="00000800" w:usb2="00000000" w:usb3="00000000" w:csb0="6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D1A"/>
    <w:rsid w:val="00DF7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8207E99AF564D79AD432858DCE58CF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D02658FCB1244B591B5A83527E30FA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E8A5678FB2D44C884636A50CF2780C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3</Pages>
  <Words>250</Words>
  <Characters>298</Characters>
  <Lines>55</Lines>
  <Paragraphs>50</Paragraphs>
  <TotalTime>4</TotalTime>
  <ScaleCrop>false</ScaleCrop>
  <LinksUpToDate>false</LinksUpToDate>
  <CharactersWithSpaces>317</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2023-06-27T10:44:00Z</dcterms:created>
  <dc:creator>lenovo</dc:creator>
  <dc:description>&lt;config cover="true" show_menu="true" version="1.0.0" doctype="SDKXY"&gt;_x000d_
&lt;/config&gt;</dc:description>
  <cp:lastModifiedBy>nys</cp:lastModifiedBy>
  <cp:lastPrinted>2020-08-30T18:00:00Z</cp:lastPrinted>
  <dcterms:modified xsi:type="dcterms:W3CDTF">2025-06-16T09:53:27Z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eyJoZGlkIjoiN2U1YmUxZTI1Y2RmMDUwNGU3YzY2NzE3ZGRlOWM3YzIiLCJ1c2VySWQiOiIxNTU2NTc3Nzc2In0=</vt:lpwstr>
  </property>
  <property fmtid="{D5CDD505-2E9C-101B-9397-08002B2CF9AE}" pid="15" name="KSOProductBuildVer">
    <vt:lpwstr>2052-11.8.2.10422</vt:lpwstr>
  </property>
  <property fmtid="{D5CDD505-2E9C-101B-9397-08002B2CF9AE}" pid="16" name="ICV">
    <vt:lpwstr>A149BF9E8AD44DD7B8756F3ECE07173C_12</vt:lpwstr>
  </property>
</Properties>
</file>