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60288;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宛花3号栽培技术规程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2"/>
        <w:spacing w:after="468"/>
      </w:pPr>
      <w:bookmarkStart w:id="21" w:name="BookMark1"/>
      <w:bookmarkStart w:id="22" w:name="_Toc96679407"/>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"_Toc183013827" </w:instrText>
      </w:r>
      <w:r>
        <w:fldChar w:fldCharType="separate"/>
      </w:r>
      <w:r>
        <w:rPr>
          <w:rStyle w:val="33"/>
          <w:rFonts w:hint="eastAsia"/>
          <w:spacing w:val="320"/>
        </w:rPr>
        <w:t>前</w:t>
      </w:r>
      <w:r>
        <w:rPr>
          <w:rStyle w:val="33"/>
          <w:rFonts w:hint="eastAsia"/>
        </w:rPr>
        <w:t>言</w:t>
      </w:r>
      <w:r>
        <w:tab/>
      </w:r>
      <w:r>
        <w:fldChar w:fldCharType="begin"/>
      </w:r>
      <w:r>
        <w:instrText xml:space="preserve"> PAGEREF _Toc183013827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"_Toc183013828" </w:instrText>
      </w:r>
      <w:r>
        <w:fldChar w:fldCharType="separate"/>
      </w:r>
      <w:r>
        <w:rPr>
          <w:rStyle w:val="33"/>
        </w:rPr>
        <w:t>1</w:t>
      </w:r>
      <w:r>
        <w:rPr>
          <w:rStyle w:val="33"/>
          <w:rFonts w:hint="eastAsia"/>
        </w:rPr>
        <w:t xml:space="preserve"> 范围</w:t>
      </w:r>
      <w:r>
        <w:tab/>
      </w:r>
      <w:r>
        <w:fldChar w:fldCharType="begin"/>
      </w:r>
      <w:r>
        <w:instrText xml:space="preserve"> PAGEREF _Toc183013828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"_Toc183013829" </w:instrText>
      </w:r>
      <w:r>
        <w:fldChar w:fldCharType="separate"/>
      </w:r>
      <w:r>
        <w:rPr>
          <w:rStyle w:val="33"/>
        </w:rPr>
        <w:t>2</w:t>
      </w:r>
      <w:r>
        <w:rPr>
          <w:rStyle w:val="33"/>
          <w:rFonts w:hint="eastAsia"/>
        </w:rPr>
        <w:t xml:space="preserve"> 规范性引用文件</w:t>
      </w:r>
      <w:r>
        <w:tab/>
      </w:r>
      <w:r>
        <w:fldChar w:fldCharType="begin"/>
      </w:r>
      <w:r>
        <w:instrText xml:space="preserve"> PAGEREF _Toc183013829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"_Toc183013830" </w:instrText>
      </w:r>
      <w:r>
        <w:fldChar w:fldCharType="separate"/>
      </w:r>
      <w:r>
        <w:rPr>
          <w:rStyle w:val="33"/>
        </w:rPr>
        <w:t>3</w:t>
      </w:r>
      <w:r>
        <w:rPr>
          <w:rStyle w:val="33"/>
          <w:rFonts w:hint="eastAsia"/>
        </w:rPr>
        <w:t xml:space="preserve"> 术语和定义</w:t>
      </w:r>
      <w:r>
        <w:tab/>
      </w:r>
      <w:r>
        <w:fldChar w:fldCharType="begin"/>
      </w:r>
      <w:r>
        <w:instrText xml:space="preserve"> PAGEREF _Toc183013830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"_Toc183013833" </w:instrText>
      </w:r>
      <w:r>
        <w:fldChar w:fldCharType="separate"/>
      </w:r>
      <w:r>
        <w:rPr>
          <w:rStyle w:val="33"/>
        </w:rPr>
        <w:t>4</w:t>
      </w:r>
      <w:r>
        <w:rPr>
          <w:rStyle w:val="33"/>
          <w:rFonts w:hint="eastAsia"/>
        </w:rPr>
        <w:t xml:space="preserve"> 产地环境条件</w:t>
      </w:r>
      <w:r>
        <w:tab/>
      </w:r>
      <w:r>
        <w:fldChar w:fldCharType="begin"/>
      </w:r>
      <w:r>
        <w:instrText xml:space="preserve"> PAGEREF _Toc183013833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"_Toc183013834" </w:instrText>
      </w:r>
      <w:r>
        <w:fldChar w:fldCharType="separate"/>
      </w:r>
      <w:r>
        <w:rPr>
          <w:rStyle w:val="33"/>
        </w:rPr>
        <w:t>5</w:t>
      </w:r>
      <w:r>
        <w:rPr>
          <w:rStyle w:val="33"/>
          <w:rFonts w:hint="eastAsia"/>
        </w:rPr>
        <w:t xml:space="preserve"> 栽培技术</w:t>
      </w:r>
      <w:r>
        <w:tab/>
      </w:r>
      <w:r>
        <w:fldChar w:fldCharType="begin"/>
      </w:r>
      <w:r>
        <w:instrText xml:space="preserve"> PAGEREF _Toc183013834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"_Toc183013838" </w:instrText>
      </w:r>
      <w:r>
        <w:fldChar w:fldCharType="separate"/>
      </w:r>
      <w:r>
        <w:rPr>
          <w:rStyle w:val="33"/>
        </w:rPr>
        <w:t>6</w:t>
      </w:r>
      <w:r>
        <w:rPr>
          <w:rStyle w:val="33"/>
          <w:rFonts w:hint="eastAsia"/>
        </w:rPr>
        <w:t xml:space="preserve"> 收获</w:t>
      </w:r>
      <w:r>
        <w:tab/>
      </w:r>
      <w:r>
        <w:fldChar w:fldCharType="begin"/>
      </w:r>
      <w:r>
        <w:instrText xml:space="preserve"> PAGEREF _Toc183013838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"_Toc183013842" </w:instrText>
      </w:r>
      <w:r>
        <w:fldChar w:fldCharType="separate"/>
      </w:r>
      <w:r>
        <w:rPr>
          <w:rStyle w:val="33"/>
          <w:rFonts w:hint="eastAsia"/>
          <w:spacing w:val="100"/>
        </w:rPr>
        <w:t>附录A</w:t>
      </w:r>
      <w:r>
        <w:rPr>
          <w:rStyle w:val="33"/>
          <w:rFonts w:hint="eastAsia"/>
        </w:rPr>
        <w:t xml:space="preserve"> （规范性）</w:t>
      </w:r>
      <w:r>
        <w:rPr>
          <w:rStyle w:val="33"/>
        </w:rPr>
        <w:t xml:space="preserve"> </w:t>
      </w:r>
      <w:r>
        <w:rPr>
          <w:rStyle w:val="33"/>
          <w:rFonts w:hint="eastAsia"/>
        </w:rPr>
        <w:t>花生主要病虫草害种类及其防治方法</w:t>
      </w:r>
      <w:r>
        <w:tab/>
      </w:r>
      <w:r>
        <w:fldChar w:fldCharType="begin"/>
      </w:r>
      <w:r>
        <w:instrText xml:space="preserve"> PAGEREF _Toc183013842 \h </w:instrText>
      </w:r>
      <w:r>
        <w:fldChar w:fldCharType="separate"/>
      </w:r>
      <w:r>
        <w:t>5</w:t>
      </w:r>
      <w:r>
        <w:fldChar w:fldCharType="end"/>
      </w:r>
      <w:r>
        <w:fldChar w:fldCharType="end"/>
      </w:r>
    </w:p>
    <w:p>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after="468"/>
      </w:pPr>
      <w:bookmarkStart w:id="23" w:name="_Toc183013827"/>
      <w:bookmarkStart w:id="24" w:name="BookMark2"/>
      <w:r>
        <w:rPr>
          <w:spacing w:val="320"/>
        </w:rPr>
        <w:t>前</w:t>
      </w:r>
      <w:r>
        <w:t>言</w:t>
      </w:r>
      <w:bookmarkEnd w:id="22"/>
      <w:bookmarkEnd w:id="23"/>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本文件由河南省南阳市农业农村局提出。</w:t>
      </w:r>
    </w:p>
    <w:p>
      <w:pPr>
        <w:pStyle w:val="57"/>
        <w:ind w:firstLine="420"/>
      </w:pPr>
      <w:r>
        <w:rPr>
          <w:rFonts w:hint="eastAsia"/>
        </w:rPr>
        <w:t>本文件由河南省南阳市农业农村局归口。</w:t>
      </w:r>
    </w:p>
    <w:p>
      <w:pPr>
        <w:pStyle w:val="57"/>
        <w:ind w:firstLine="420"/>
      </w:pPr>
      <w:r>
        <w:rPr>
          <w:rFonts w:hint="eastAsia"/>
        </w:rPr>
        <w:t>本文件起草单位：南阳市科学院、河南省花生产业技术体系南阳综合试验站、河南省鲜食型花生工程技术研究中心。</w:t>
      </w:r>
    </w:p>
    <w:p>
      <w:pPr>
        <w:pStyle w:val="57"/>
        <w:ind w:firstLine="420"/>
        <w:rPr>
          <w:rFonts w:hint="default"/>
          <w:lang w:val="en"/>
        </w:rPr>
      </w:pPr>
      <w:r>
        <w:rPr>
          <w:rFonts w:hint="eastAsia"/>
        </w:rPr>
        <w:t>本文件主要起草人：郑青焕、李拴柱、王建玉、</w:t>
      </w:r>
      <w:r>
        <w:rPr>
          <w:rFonts w:hint="eastAsia"/>
          <w:lang w:eastAsia="zh-CN"/>
        </w:rPr>
        <w:t>杨荣、</w:t>
      </w:r>
      <w:r>
        <w:rPr>
          <w:rFonts w:hint="eastAsia"/>
        </w:rPr>
        <w:t>李梦春、袁延乐、李连娜、陈君、朱海燕、张少杰、关婷卉、李志鹏、裴晓东、马博、朱燕伟、王文辉、杨玉华、任育</w:t>
      </w:r>
      <w:bookmarkStart w:id="96" w:name="_GoBack"/>
      <w:bookmarkEnd w:id="96"/>
      <w:r>
        <w:rPr>
          <w:rFonts w:hint="eastAsia"/>
        </w:rPr>
        <w:t>庆、宋江春</w:t>
      </w:r>
      <w:r>
        <w:rPr>
          <w:rFonts w:hint="default"/>
          <w:lang w:val="en"/>
        </w:rPr>
        <w:t>、谢正阳、张孔周、马雁、何见、刘文秀</w:t>
      </w:r>
      <w:r>
        <w:rPr>
          <w:rFonts w:hint="eastAsia"/>
          <w:lang w:val="en" w:eastAsia="zh-CN"/>
        </w:rPr>
        <w:t>、王佰彦、杨军燕、王良、李剑、 杨春雨</w:t>
      </w:r>
      <w:r>
        <w:rPr>
          <w:rFonts w:hint="default"/>
          <w:lang w:val="en"/>
        </w:rPr>
        <w:t>。</w:t>
      </w:r>
    </w:p>
    <w:p>
      <w:pPr>
        <w:pStyle w:val="57"/>
        <w:ind w:left="0" w:leftChars="0" w:firstLine="0" w:firstLineChars="0"/>
        <w:sectPr>
          <w:pgSz w:w="11906" w:h="16838"/>
          <w:pgMar w:top="2410"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CA84935F079D4B60ADF07758D22FF8D0"/>
        </w:placeholder>
      </w:sdtPr>
      <w:sdtContent>
        <w:p>
          <w:pPr>
            <w:pStyle w:val="178"/>
            <w:spacing w:beforeLines="100" w:afterLines="220"/>
          </w:pPr>
          <w:bookmarkStart w:id="26" w:name="NEW_STAND_NAME"/>
          <w:r>
            <w:rPr>
              <w:rFonts w:hint="eastAsia"/>
            </w:rPr>
            <w:t>宛花</w:t>
          </w:r>
          <w:r>
            <w:t>3号栽培技术规程</w:t>
          </w:r>
        </w:p>
      </w:sdtContent>
    </w:sdt>
    <w:bookmarkEnd w:id="26"/>
    <w:p>
      <w:pPr>
        <w:pStyle w:val="105"/>
        <w:spacing w:before="312" w:after="312"/>
      </w:pPr>
      <w:bookmarkStart w:id="27" w:name="_Toc24884211"/>
      <w:bookmarkStart w:id="28" w:name="_Toc183013828"/>
      <w:bookmarkStart w:id="29" w:name="_Toc24884218"/>
      <w:bookmarkStart w:id="30" w:name="_Toc26986530"/>
      <w:bookmarkStart w:id="31" w:name="_Toc17233333"/>
      <w:bookmarkStart w:id="32" w:name="_Toc26718930"/>
      <w:bookmarkStart w:id="33" w:name="_Toc26986771"/>
      <w:bookmarkStart w:id="34" w:name="_Toc17233325"/>
      <w:bookmarkStart w:id="35" w:name="_Toc96679408"/>
      <w:bookmarkStart w:id="36" w:name="_Toc26648465"/>
      <w:r>
        <w:rPr>
          <w:rFonts w:hint="eastAsia"/>
        </w:rPr>
        <w:t>范围</w:t>
      </w:r>
      <w:bookmarkEnd w:id="27"/>
      <w:bookmarkEnd w:id="28"/>
      <w:bookmarkEnd w:id="29"/>
      <w:bookmarkEnd w:id="30"/>
      <w:bookmarkEnd w:id="31"/>
      <w:bookmarkEnd w:id="32"/>
      <w:bookmarkEnd w:id="33"/>
      <w:bookmarkEnd w:id="34"/>
      <w:bookmarkEnd w:id="35"/>
      <w:bookmarkEnd w:id="36"/>
    </w:p>
    <w:p>
      <w:pPr>
        <w:pStyle w:val="232"/>
        <w:spacing w:before="50" w:after="50" w:line="360" w:lineRule="exact"/>
        <w:ind w:firstLine="420"/>
      </w:pPr>
      <w:bookmarkStart w:id="37" w:name="_Toc26648466"/>
      <w:bookmarkStart w:id="38" w:name="_Toc17233326"/>
      <w:bookmarkStart w:id="39" w:name="_Toc17233334"/>
      <w:bookmarkStart w:id="40" w:name="_Toc24884219"/>
      <w:bookmarkStart w:id="41" w:name="_Toc24884212"/>
      <w:r>
        <w:rPr>
          <w:rFonts w:hint="eastAsia"/>
        </w:rPr>
        <w:t>本文件规定了宛花3号的</w:t>
      </w:r>
      <w:r>
        <w:rPr>
          <w:rFonts w:hint="eastAsia" w:ascii="Times New Roman"/>
          <w:szCs w:val="21"/>
        </w:rPr>
        <w:t>产地环境要求、</w:t>
      </w:r>
      <w:r>
        <w:rPr>
          <w:rFonts w:ascii="Times New Roman"/>
        </w:rPr>
        <w:t>品种选择、</w:t>
      </w:r>
      <w:r>
        <w:rPr>
          <w:rFonts w:hint="eastAsia"/>
        </w:rPr>
        <w:t>栽培技术、田间管理、收获等。</w:t>
      </w:r>
    </w:p>
    <w:p>
      <w:pPr>
        <w:pStyle w:val="232"/>
        <w:spacing w:before="50" w:after="50" w:line="360" w:lineRule="exact"/>
        <w:ind w:firstLine="420"/>
      </w:pPr>
      <w:r>
        <w:rPr>
          <w:rFonts w:hint="eastAsia"/>
        </w:rPr>
        <w:t>本文件适用于南阳市花生产区尤其是青枯病区宛花3号的春播、夏直播的栽培，其它地区参考使用。</w:t>
      </w:r>
    </w:p>
    <w:p>
      <w:pPr>
        <w:pStyle w:val="105"/>
        <w:spacing w:before="312" w:after="312"/>
      </w:pPr>
      <w:bookmarkStart w:id="42" w:name="_Toc26986531"/>
      <w:bookmarkStart w:id="43" w:name="_Toc26986772"/>
      <w:bookmarkStart w:id="44" w:name="_Toc183013829"/>
      <w:bookmarkStart w:id="45" w:name="_Toc26718931"/>
      <w:bookmarkStart w:id="46" w:name="_Toc96679409"/>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4DA0073722449189B8C2A9DB0EA16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t></w:t>
      </w:r>
      <w:r>
        <w:tab/>
      </w:r>
      <w:r>
        <w:rPr>
          <w:rFonts w:hint="eastAsia"/>
        </w:rPr>
        <w:t xml:space="preserve">GB 4407.2  </w:t>
      </w:r>
      <w:r>
        <w:rPr>
          <w:rFonts w:hint="default"/>
          <w:lang w:val="en"/>
        </w:rPr>
        <w:t xml:space="preserve"> </w:t>
      </w:r>
      <w:r>
        <w:rPr>
          <w:rFonts w:hint="eastAsia"/>
        </w:rPr>
        <w:t>经济作物种子第2部分：油料类</w:t>
      </w:r>
    </w:p>
    <w:p>
      <w:pPr>
        <w:pStyle w:val="57"/>
        <w:ind w:firstLine="420"/>
      </w:pPr>
      <w:r>
        <w:rPr>
          <w:rFonts w:hint="eastAsia"/>
        </w:rPr>
        <w:t></w:t>
      </w:r>
      <w:r>
        <w:rPr>
          <w:rFonts w:hint="eastAsia"/>
        </w:rPr>
        <w:tab/>
      </w:r>
      <w:r>
        <w:rPr>
          <w:rFonts w:hint="eastAsia"/>
        </w:rPr>
        <w:t>GB/T 1532   花生</w:t>
      </w:r>
    </w:p>
    <w:p>
      <w:pPr>
        <w:pStyle w:val="57"/>
        <w:ind w:firstLine="420"/>
      </w:pPr>
      <w:r>
        <w:rPr>
          <w:rFonts w:hint="eastAsia"/>
        </w:rPr>
        <w:t></w:t>
      </w:r>
      <w:r>
        <w:rPr>
          <w:rFonts w:hint="eastAsia"/>
        </w:rPr>
        <w:tab/>
      </w:r>
      <w:r>
        <w:rPr>
          <w:rFonts w:hint="eastAsia"/>
        </w:rPr>
        <w:t>NY/T 1276   农药安全使用规范总则</w:t>
      </w:r>
    </w:p>
    <w:p>
      <w:pPr>
        <w:pStyle w:val="57"/>
        <w:ind w:firstLine="420"/>
      </w:pPr>
      <w:r>
        <w:rPr>
          <w:rFonts w:hint="eastAsia"/>
        </w:rPr>
        <w:t></w:t>
      </w:r>
      <w:r>
        <w:rPr>
          <w:rFonts w:hint="eastAsia"/>
        </w:rPr>
        <w:tab/>
      </w:r>
      <w:r>
        <w:rPr>
          <w:rFonts w:hint="eastAsia"/>
        </w:rPr>
        <w:t xml:space="preserve">GB/T 8321 </w:t>
      </w:r>
      <w:r>
        <w:rPr>
          <w:rFonts w:hint="default"/>
          <w:lang w:val="en"/>
        </w:rPr>
        <w:t xml:space="preserve"> </w:t>
      </w:r>
      <w:r>
        <w:rPr>
          <w:rFonts w:hint="eastAsia"/>
        </w:rPr>
        <w:t>（全部）  农药合理使用准则</w:t>
      </w:r>
    </w:p>
    <w:p>
      <w:pPr>
        <w:pStyle w:val="57"/>
        <w:ind w:firstLine="420"/>
      </w:pPr>
      <w:r>
        <w:rPr>
          <w:rFonts w:hint="eastAsia"/>
        </w:rPr>
        <w:t></w:t>
      </w:r>
      <w:r>
        <w:rPr>
          <w:rFonts w:hint="eastAsia"/>
        </w:rPr>
        <w:tab/>
      </w:r>
      <w:r>
        <w:rPr>
          <w:rFonts w:hint="eastAsia"/>
        </w:rPr>
        <w:t xml:space="preserve">GB 15618   </w:t>
      </w:r>
      <w:r>
        <w:rPr>
          <w:rFonts w:hint="default"/>
          <w:lang w:val="en"/>
        </w:rPr>
        <w:t xml:space="preserve"> </w:t>
      </w:r>
      <w:r>
        <w:rPr>
          <w:rFonts w:hint="eastAsia"/>
        </w:rPr>
        <w:t>土壤环境质量标准</w:t>
      </w:r>
    </w:p>
    <w:p>
      <w:pPr>
        <w:pStyle w:val="57"/>
        <w:ind w:firstLine="420"/>
      </w:pPr>
      <w:r>
        <w:rPr>
          <w:rFonts w:hint="eastAsia"/>
        </w:rPr>
        <w:t></w:t>
      </w:r>
      <w:r>
        <w:rPr>
          <w:rFonts w:hint="eastAsia"/>
        </w:rPr>
        <w:tab/>
      </w:r>
      <w:r>
        <w:rPr>
          <w:rFonts w:hint="eastAsia"/>
        </w:rPr>
        <w:t xml:space="preserve">NY/T 496   </w:t>
      </w:r>
      <w:r>
        <w:rPr>
          <w:rFonts w:hint="default"/>
          <w:lang w:val="en"/>
        </w:rPr>
        <w:t xml:space="preserve"> </w:t>
      </w:r>
      <w:r>
        <w:rPr>
          <w:rFonts w:hint="eastAsia"/>
        </w:rPr>
        <w:t>肥料合理使用准则 通则</w:t>
      </w:r>
    </w:p>
    <w:p>
      <w:pPr>
        <w:pStyle w:val="57"/>
        <w:ind w:firstLine="420"/>
      </w:pPr>
      <w:r>
        <w:rPr>
          <w:rFonts w:hint="eastAsia"/>
        </w:rPr>
        <w:t></w:t>
      </w:r>
      <w:r>
        <w:rPr>
          <w:rFonts w:hint="eastAsia"/>
        </w:rPr>
        <w:tab/>
      </w:r>
      <w:r>
        <w:rPr>
          <w:rFonts w:hint="eastAsia"/>
        </w:rPr>
        <w:t xml:space="preserve">GB 5084    </w:t>
      </w:r>
      <w:r>
        <w:rPr>
          <w:rFonts w:hint="default"/>
          <w:lang w:val="en"/>
        </w:rPr>
        <w:t xml:space="preserve"> </w:t>
      </w:r>
      <w:r>
        <w:rPr>
          <w:rFonts w:hint="eastAsia"/>
        </w:rPr>
        <w:t>农田灌溉水质标准</w:t>
      </w:r>
    </w:p>
    <w:p>
      <w:pPr>
        <w:pStyle w:val="57"/>
        <w:ind w:firstLine="420"/>
      </w:pPr>
      <w:r>
        <w:rPr>
          <w:rFonts w:hint="eastAsia"/>
        </w:rPr>
        <w:t></w:t>
      </w:r>
      <w:r>
        <w:rPr>
          <w:rFonts w:hint="eastAsia"/>
        </w:rPr>
        <w:tab/>
      </w:r>
      <w:r>
        <w:rPr>
          <w:rFonts w:hint="eastAsia"/>
        </w:rPr>
        <w:t xml:space="preserve">GB 13735   </w:t>
      </w:r>
      <w:r>
        <w:rPr>
          <w:rFonts w:hint="default"/>
          <w:lang w:val="en"/>
        </w:rPr>
        <w:t xml:space="preserve"> </w:t>
      </w:r>
      <w:r>
        <w:rPr>
          <w:rFonts w:hint="eastAsia"/>
        </w:rPr>
        <w:t>农用地膜标准</w:t>
      </w:r>
    </w:p>
    <w:p>
      <w:pPr>
        <w:pStyle w:val="57"/>
        <w:ind w:firstLine="420"/>
      </w:pPr>
      <w:r>
        <w:rPr>
          <w:rFonts w:hint="eastAsia"/>
        </w:rPr>
        <w:t xml:space="preserve">    GB 5491    </w:t>
      </w:r>
      <w:r>
        <w:rPr>
          <w:rFonts w:hint="default"/>
          <w:lang w:val="en"/>
        </w:rPr>
        <w:t xml:space="preserve"> </w:t>
      </w:r>
      <w:r>
        <w:rPr>
          <w:rFonts w:hint="eastAsia"/>
        </w:rPr>
        <w:t>粮食、油料检验扦样、分样法</w:t>
      </w:r>
    </w:p>
    <w:p>
      <w:pPr>
        <w:pStyle w:val="57"/>
        <w:ind w:firstLine="420"/>
      </w:pPr>
      <w:r>
        <w:rPr>
          <w:rFonts w:hint="eastAsia"/>
        </w:rPr>
        <w:t xml:space="preserve">    GB/T 14489.1  油料   水分及挥发物含量测定</w:t>
      </w:r>
    </w:p>
    <w:p>
      <w:pPr>
        <w:pStyle w:val="57"/>
        <w:ind w:firstLine="420"/>
      </w:pPr>
      <w:r>
        <w:rPr>
          <w:rFonts w:hint="eastAsia"/>
        </w:rPr>
        <w:t></w:t>
      </w:r>
      <w:r>
        <w:rPr>
          <w:rFonts w:hint="eastAsia"/>
        </w:rPr>
        <w:tab/>
      </w:r>
      <w:r>
        <w:rPr>
          <w:rFonts w:hint="eastAsia"/>
        </w:rPr>
        <w:t>NY/T 525     有机肥料</w:t>
      </w:r>
    </w:p>
    <w:p>
      <w:pPr>
        <w:pStyle w:val="57"/>
        <w:ind w:firstLine="420"/>
      </w:pPr>
      <w:r>
        <w:rPr>
          <w:rFonts w:hint="eastAsia"/>
        </w:rPr>
        <w:t></w:t>
      </w:r>
      <w:r>
        <w:rPr>
          <w:rFonts w:hint="eastAsia"/>
        </w:rPr>
        <w:tab/>
      </w:r>
      <w:r>
        <w:rPr>
          <w:rFonts w:hint="eastAsia"/>
        </w:rPr>
        <w:t>NY/T 2393    花生主要虫害防治技术规程</w:t>
      </w:r>
    </w:p>
    <w:p>
      <w:pPr>
        <w:pStyle w:val="57"/>
        <w:ind w:firstLine="420"/>
      </w:pPr>
      <w:r>
        <w:rPr>
          <w:rFonts w:hint="eastAsia"/>
        </w:rPr>
        <w:t></w:t>
      </w:r>
      <w:r>
        <w:rPr>
          <w:rFonts w:hint="eastAsia"/>
        </w:rPr>
        <w:tab/>
      </w:r>
      <w:r>
        <w:rPr>
          <w:rFonts w:hint="eastAsia"/>
        </w:rPr>
        <w:t>NY/T 2394    花生主要病害防治技术规程</w:t>
      </w:r>
    </w:p>
    <w:p>
      <w:pPr>
        <w:pStyle w:val="57"/>
        <w:ind w:firstLine="420"/>
      </w:pPr>
      <w:r>
        <w:rPr>
          <w:rFonts w:hint="eastAsia"/>
        </w:rPr>
        <w:t></w:t>
      </w:r>
      <w:r>
        <w:rPr>
          <w:rFonts w:hint="eastAsia"/>
        </w:rPr>
        <w:tab/>
      </w:r>
      <w:r>
        <w:rPr>
          <w:rFonts w:hint="eastAsia"/>
        </w:rPr>
        <w:t>NY/T 2395    花生田主要杂草防治技术规程</w:t>
      </w:r>
    </w:p>
    <w:p>
      <w:pPr>
        <w:pStyle w:val="105"/>
        <w:spacing w:before="312" w:after="312"/>
      </w:pPr>
      <w:bookmarkStart w:id="47" w:name="_Toc96679410"/>
      <w:bookmarkStart w:id="48" w:name="_Toc183013830"/>
      <w:r>
        <w:rPr>
          <w:rFonts w:hint="eastAsia"/>
          <w:szCs w:val="21"/>
        </w:rPr>
        <w:t>术语和定义</w:t>
      </w:r>
      <w:bookmarkEnd w:id="47"/>
      <w:bookmarkEnd w:id="48"/>
    </w:p>
    <w:sdt>
      <w:sdtPr>
        <w:id w:val="-1909835108"/>
        <w:placeholder>
          <w:docPart w:val="77F52F51E8674573B9132403EF0F12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9" w:name="_Toc26986532"/>
          <w:bookmarkEnd w:id="49"/>
          <w:r>
            <w:rPr>
              <w:rFonts w:hint="eastAsia"/>
            </w:rPr>
            <w:t>下列术语和定义适用于本文件。</w:t>
          </w:r>
        </w:p>
      </w:sdtContent>
    </w:sdt>
    <w:p>
      <w:pPr>
        <w:pStyle w:val="106"/>
        <w:spacing w:before="156" w:after="156"/>
        <w:ind w:left="0"/>
      </w:pPr>
      <w:bookmarkStart w:id="50" w:name="_Toc104384418"/>
      <w:bookmarkEnd w:id="50"/>
      <w:bookmarkStart w:id="51" w:name="_Toc183013831"/>
      <w:bookmarkEnd w:id="51"/>
      <w:bookmarkStart w:id="52" w:name="_Toc127807793"/>
      <w:bookmarkEnd w:id="52"/>
      <w:bookmarkStart w:id="53" w:name="_Toc182403342"/>
      <w:bookmarkEnd w:id="53"/>
    </w:p>
    <w:p>
      <w:pPr>
        <w:pStyle w:val="106"/>
        <w:numPr>
          <w:ilvl w:val="0"/>
          <w:numId w:val="0"/>
        </w:numPr>
        <w:spacing w:before="156" w:after="156"/>
        <w:ind w:firstLine="420" w:firstLineChars="200"/>
      </w:pPr>
      <w:bookmarkStart w:id="54" w:name="_Toc183013832"/>
      <w:bookmarkStart w:id="55" w:name="_Toc182403343"/>
      <w:r>
        <w:rPr>
          <w:rFonts w:hint="eastAsia"/>
        </w:rPr>
        <w:t>宛花3号</w:t>
      </w:r>
      <w:bookmarkEnd w:id="54"/>
      <w:bookmarkEnd w:id="55"/>
    </w:p>
    <w:p>
      <w:pPr>
        <w:ind w:firstLine="420" w:firstLineChars="200"/>
        <w:textAlignment w:val="baseline"/>
        <w:rPr>
          <w:rFonts w:ascii="Times New Roman" w:hAnsi="Times New Roman"/>
          <w:kern w:val="0"/>
          <w:szCs w:val="20"/>
        </w:rPr>
      </w:pPr>
      <w:r>
        <w:rPr>
          <w:rFonts w:ascii="Times New Roman" w:hAnsi="Times New Roman"/>
        </w:rPr>
        <w:t>宛花3号是由南阳市科学院以宛花2号为母本，远杂9102为父本选育的珍珠豆型优质、高产、高抗青枯病花生品种，2019年通过国家非主要农作物登记，</w:t>
      </w:r>
      <w:r>
        <w:rPr>
          <w:rFonts w:ascii="Times New Roman" w:hAnsi="Times New Roman"/>
          <w:kern w:val="0"/>
          <w:szCs w:val="20"/>
        </w:rPr>
        <w:t>登记编号GDP花生（2019）410141。</w:t>
      </w:r>
    </w:p>
    <w:p>
      <w:pPr>
        <w:pStyle w:val="105"/>
        <w:spacing w:before="312" w:after="312"/>
      </w:pPr>
      <w:bookmarkStart w:id="56" w:name="_Toc182403344"/>
      <w:bookmarkEnd w:id="56"/>
      <w:bookmarkStart w:id="57" w:name="_Toc104384420"/>
      <w:bookmarkEnd w:id="57"/>
      <w:bookmarkStart w:id="58" w:name="_Toc101955783"/>
      <w:bookmarkStart w:id="59" w:name="_Toc101955250"/>
      <w:bookmarkStart w:id="60" w:name="_Toc101955294"/>
      <w:bookmarkStart w:id="61" w:name="_Toc183013833"/>
      <w:bookmarkStart w:id="62" w:name="_Toc103673131"/>
      <w:bookmarkStart w:id="63" w:name="_Toc103673175"/>
      <w:bookmarkStart w:id="64" w:name="_Toc96679411"/>
      <w:bookmarkStart w:id="65" w:name="_Toc101955316"/>
      <w:bookmarkStart w:id="66" w:name="_Toc103673153"/>
      <w:bookmarkStart w:id="67" w:name="_Toc103673120"/>
      <w:bookmarkStart w:id="68" w:name="_Toc101955380"/>
      <w:r>
        <w:rPr>
          <w:rFonts w:hint="eastAsia"/>
        </w:rPr>
        <w:t>产地环境条件</w:t>
      </w:r>
      <w:bookmarkEnd w:id="58"/>
      <w:bookmarkEnd w:id="59"/>
      <w:bookmarkEnd w:id="60"/>
      <w:bookmarkEnd w:id="61"/>
      <w:bookmarkEnd w:id="62"/>
      <w:bookmarkEnd w:id="63"/>
      <w:bookmarkEnd w:id="64"/>
      <w:bookmarkEnd w:id="65"/>
      <w:bookmarkEnd w:id="66"/>
      <w:bookmarkEnd w:id="67"/>
      <w:bookmarkEnd w:id="68"/>
    </w:p>
    <w:p>
      <w:pPr>
        <w:pStyle w:val="232"/>
        <w:ind w:firstLine="420"/>
      </w:pPr>
      <w:r>
        <w:rPr>
          <w:rFonts w:hint="eastAsia"/>
        </w:rPr>
        <w:t>土层深厚、肥力中等以上、排灌方便的黄褐土、砂礓黑土、潮土等，生茬地或轮作田最适宜。并符合 GB 15618要求。</w:t>
      </w:r>
    </w:p>
    <w:p>
      <w:pPr>
        <w:pStyle w:val="105"/>
        <w:spacing w:before="312" w:after="312"/>
      </w:pPr>
      <w:bookmarkStart w:id="69" w:name="_Toc96679412"/>
      <w:bookmarkStart w:id="70" w:name="_Toc183013834"/>
      <w:r>
        <w:rPr>
          <w:rFonts w:hint="eastAsia"/>
        </w:rPr>
        <w:t>栽培技术</w:t>
      </w:r>
      <w:bookmarkEnd w:id="69"/>
      <w:bookmarkEnd w:id="70"/>
    </w:p>
    <w:p>
      <w:pPr>
        <w:pStyle w:val="106"/>
        <w:spacing w:before="156" w:after="156"/>
        <w:ind w:left="0"/>
      </w:pPr>
      <w:bookmarkStart w:id="71" w:name="_Toc183013835"/>
      <w:bookmarkStart w:id="72" w:name="_Toc96679413"/>
      <w:bookmarkStart w:id="73" w:name="_Toc103673157"/>
      <w:bookmarkStart w:id="74" w:name="_Toc103673135"/>
      <w:bookmarkStart w:id="75" w:name="_Toc103673179"/>
      <w:r>
        <w:rPr>
          <w:rFonts w:hint="eastAsia"/>
        </w:rPr>
        <w:t>播前准备</w:t>
      </w:r>
      <w:bookmarkEnd w:id="71"/>
      <w:bookmarkEnd w:id="72"/>
    </w:p>
    <w:bookmarkEnd w:id="73"/>
    <w:bookmarkEnd w:id="74"/>
    <w:bookmarkEnd w:id="75"/>
    <w:p>
      <w:pPr>
        <w:pStyle w:val="66"/>
        <w:spacing w:before="156" w:after="156"/>
        <w:ind w:left="0"/>
        <w:jc w:val="left"/>
      </w:pPr>
      <w:r>
        <w:rPr>
          <w:rFonts w:hint="eastAsia"/>
        </w:rPr>
        <w:t>精选种果</w:t>
      </w:r>
    </w:p>
    <w:p>
      <w:pPr>
        <w:pStyle w:val="232"/>
        <w:spacing w:before="50" w:after="50" w:line="360" w:lineRule="exact"/>
        <w:ind w:firstLine="420"/>
      </w:pPr>
      <w:r>
        <w:rPr>
          <w:rFonts w:hint="eastAsia"/>
        </w:rPr>
        <w:t>选用无霉变、无伤病、饱满度好，均匀一致的宛花3号荚果做种子，种子质量应符合GB 4407.2的规定。</w:t>
      </w:r>
    </w:p>
    <w:p>
      <w:pPr>
        <w:pStyle w:val="66"/>
        <w:spacing w:before="156" w:after="156"/>
        <w:ind w:left="0"/>
      </w:pPr>
      <w:r>
        <w:rPr>
          <w:rFonts w:hint="eastAsia"/>
        </w:rPr>
        <w:t>种子处理</w:t>
      </w:r>
    </w:p>
    <w:p>
      <w:pPr>
        <w:pStyle w:val="95"/>
        <w:numPr>
          <w:ilvl w:val="0"/>
          <w:numId w:val="0"/>
        </w:numPr>
        <w:spacing w:before="156" w:after="156"/>
        <w:ind w:firstLine="420" w:firstLineChars="200"/>
        <w:rPr>
          <w:rFonts w:ascii="宋体" w:eastAsia="宋体"/>
          <w:szCs w:val="21"/>
        </w:rPr>
      </w:pPr>
      <w:r>
        <w:rPr>
          <w:rFonts w:hint="eastAsia" w:ascii="宋体" w:eastAsia="宋体"/>
          <w:szCs w:val="21"/>
        </w:rPr>
        <w:t>播前15 d晒种3 d，剥壳，剔去霉变、发芽、病虫粒、秕粒，大小粒分开。播种前用花生专用包衣剂或拌种剂对种子进行包衣或拌种，药剂应符合GB/T 8321的规定，做到随拌随播。</w:t>
      </w:r>
    </w:p>
    <w:p>
      <w:pPr>
        <w:pStyle w:val="66"/>
        <w:spacing w:before="156" w:after="156"/>
        <w:ind w:left="0"/>
      </w:pPr>
      <w:bookmarkStart w:id="76" w:name="_Toc96679417"/>
      <w:r>
        <w:rPr>
          <w:rFonts w:hint="eastAsia"/>
        </w:rPr>
        <w:t>整地施肥</w:t>
      </w:r>
      <w:bookmarkEnd w:id="76"/>
    </w:p>
    <w:p>
      <w:pPr>
        <w:pStyle w:val="95"/>
        <w:spacing w:before="156" w:after="156"/>
        <w:outlineLvl w:val="0"/>
      </w:pPr>
      <w:bookmarkStart w:id="77" w:name="_Toc96679418"/>
      <w:r>
        <w:rPr>
          <w:rFonts w:hint="eastAsia"/>
        </w:rPr>
        <w:t>整地</w:t>
      </w:r>
      <w:bookmarkEnd w:id="77"/>
    </w:p>
    <w:p>
      <w:pPr>
        <w:pStyle w:val="95"/>
        <w:numPr>
          <w:ilvl w:val="0"/>
          <w:numId w:val="0"/>
        </w:numPr>
        <w:spacing w:before="156" w:after="156"/>
        <w:ind w:firstLine="420" w:firstLineChars="200"/>
        <w:rPr>
          <w:rFonts w:ascii="宋体" w:eastAsia="宋体"/>
          <w:szCs w:val="21"/>
        </w:rPr>
      </w:pPr>
      <w:r>
        <w:rPr>
          <w:rFonts w:hint="eastAsia" w:ascii="宋体" w:eastAsia="宋体"/>
          <w:szCs w:val="21"/>
        </w:rPr>
        <w:t>春播地块冬季进行深耕，耕深25 cm～33 cm；夏播地块麦收后及时灭茬；播前深耕细耙，平整一致。地下害虫严重田块，整地前每666.7 m</w:t>
      </w:r>
      <w:r>
        <w:rPr>
          <w:rFonts w:hint="eastAsia" w:ascii="宋体" w:eastAsia="宋体"/>
          <w:szCs w:val="21"/>
          <w:vertAlign w:val="superscript"/>
        </w:rPr>
        <w:t>2</w:t>
      </w:r>
      <w:r>
        <w:rPr>
          <w:rFonts w:hint="eastAsia" w:ascii="宋体" w:eastAsia="宋体"/>
          <w:szCs w:val="21"/>
        </w:rPr>
        <w:t>撒施</w:t>
      </w:r>
      <w:r>
        <w:rPr>
          <w:rFonts w:ascii="宋体" w:eastAsia="宋体"/>
          <w:szCs w:val="21"/>
        </w:rPr>
        <w:t>3%</w:t>
      </w:r>
      <w:r>
        <w:rPr>
          <w:rFonts w:hint="eastAsia" w:ascii="宋体" w:eastAsia="宋体"/>
          <w:szCs w:val="21"/>
        </w:rPr>
        <w:t>辛硫磷颗粒剂2 kg。</w:t>
      </w:r>
    </w:p>
    <w:p>
      <w:pPr>
        <w:pStyle w:val="95"/>
        <w:spacing w:before="156" w:after="156"/>
        <w:rPr>
          <w:rFonts w:ascii="宋体" w:eastAsia="宋体"/>
          <w:szCs w:val="21"/>
        </w:rPr>
      </w:pPr>
      <w:r>
        <w:rPr>
          <w:rFonts w:hint="eastAsia"/>
        </w:rPr>
        <w:t>施肥</w:t>
      </w:r>
    </w:p>
    <w:p>
      <w:pPr>
        <w:pStyle w:val="99"/>
        <w:spacing w:before="156" w:after="156"/>
        <w:rPr>
          <w:rFonts w:ascii="宋体" w:eastAsia="宋体"/>
          <w:szCs w:val="21"/>
        </w:rPr>
      </w:pPr>
      <w:r>
        <w:rPr>
          <w:rFonts w:hint="eastAsia" w:ascii="宋体" w:eastAsia="宋体"/>
          <w:szCs w:val="21"/>
        </w:rPr>
        <w:t>底肥使用方法：整地前撒施或机械种肥同播。</w:t>
      </w:r>
    </w:p>
    <w:p>
      <w:pPr>
        <w:pStyle w:val="99"/>
        <w:spacing w:before="156" w:after="156"/>
        <w:rPr>
          <w:rFonts w:ascii="宋体" w:eastAsia="宋体"/>
          <w:szCs w:val="21"/>
        </w:rPr>
      </w:pPr>
      <w:r>
        <w:rPr>
          <w:rFonts w:hint="eastAsia" w:ascii="宋体" w:eastAsia="宋体"/>
          <w:szCs w:val="21"/>
        </w:rPr>
        <w:t>根据土壤肥力基础，每666.7 m</w:t>
      </w:r>
      <w:r>
        <w:rPr>
          <w:rFonts w:hint="eastAsia" w:ascii="宋体" w:eastAsia="宋体"/>
          <w:szCs w:val="21"/>
          <w:vertAlign w:val="superscript"/>
        </w:rPr>
        <w:t>2</w:t>
      </w:r>
      <w:r>
        <w:rPr>
          <w:rFonts w:hint="eastAsia" w:ascii="宋体" w:eastAsia="宋体"/>
          <w:szCs w:val="21"/>
        </w:rPr>
        <w:t>施用花生专用肥（16-8-12）或氮、磷、钾三元素复合肥（15-15-15）为40 kg～50 kg作底肥。有条件的地方，每66</w:t>
      </w:r>
      <w:r>
        <w:rPr>
          <w:rFonts w:hint="default" w:ascii="宋体" w:eastAsia="宋体"/>
          <w:szCs w:val="21"/>
          <w:lang w:val="en"/>
        </w:rPr>
        <w:t>6.7</w:t>
      </w:r>
      <w:r>
        <w:rPr>
          <w:rFonts w:hint="eastAsia" w:ascii="宋体" w:eastAsia="宋体"/>
          <w:szCs w:val="21"/>
        </w:rPr>
        <w:t xml:space="preserve"> m</w:t>
      </w:r>
      <w:r>
        <w:rPr>
          <w:rFonts w:hint="eastAsia" w:ascii="宋体" w:eastAsia="宋体"/>
          <w:szCs w:val="21"/>
          <w:vertAlign w:val="superscript"/>
        </w:rPr>
        <w:t>2</w:t>
      </w:r>
      <w:r>
        <w:rPr>
          <w:rFonts w:hint="eastAsia" w:ascii="宋体" w:eastAsia="宋体"/>
          <w:szCs w:val="21"/>
        </w:rPr>
        <w:t>再施商品有机肥5</w:t>
      </w:r>
      <w:r>
        <w:rPr>
          <w:rFonts w:ascii="宋体" w:eastAsia="宋体"/>
          <w:szCs w:val="21"/>
        </w:rPr>
        <w:t>0</w:t>
      </w:r>
      <w:r>
        <w:rPr>
          <w:rFonts w:hint="eastAsia" w:ascii="宋体" w:eastAsia="宋体"/>
          <w:szCs w:val="21"/>
        </w:rPr>
        <w:t xml:space="preserve"> kg。商品有机肥质量符合</w:t>
      </w:r>
      <w:r>
        <w:rPr>
          <w:rFonts w:ascii="宋体" w:eastAsia="宋体"/>
          <w:szCs w:val="21"/>
        </w:rPr>
        <w:t>NY/T 525</w:t>
      </w:r>
      <w:r>
        <w:rPr>
          <w:rFonts w:hint="eastAsia" w:ascii="宋体" w:eastAsia="宋体"/>
          <w:szCs w:val="21"/>
        </w:rPr>
        <w:t>的规定。</w:t>
      </w:r>
    </w:p>
    <w:p>
      <w:pPr>
        <w:pStyle w:val="99"/>
        <w:spacing w:before="156" w:after="156"/>
        <w:rPr>
          <w:rFonts w:ascii="宋体" w:eastAsia="宋体"/>
          <w:szCs w:val="21"/>
        </w:rPr>
      </w:pPr>
      <w:r>
        <w:rPr>
          <w:rFonts w:hint="eastAsia" w:ascii="宋体" w:eastAsia="宋体"/>
          <w:szCs w:val="21"/>
        </w:rPr>
        <w:t>缺钙土壤每666.7 m</w:t>
      </w:r>
      <w:r>
        <w:rPr>
          <w:rFonts w:hint="eastAsia" w:ascii="宋体" w:eastAsia="宋体"/>
          <w:szCs w:val="21"/>
          <w:vertAlign w:val="superscript"/>
        </w:rPr>
        <w:t>2</w:t>
      </w:r>
      <w:r>
        <w:rPr>
          <w:rFonts w:hint="eastAsia" w:ascii="宋体" w:eastAsia="宋体"/>
          <w:szCs w:val="21"/>
        </w:rPr>
        <w:t>补施石膏粉20 kg。或酸性土壤每666.7 m</w:t>
      </w:r>
      <w:r>
        <w:rPr>
          <w:rFonts w:hint="eastAsia" w:ascii="宋体" w:eastAsia="宋体"/>
          <w:szCs w:val="21"/>
          <w:vertAlign w:val="superscript"/>
        </w:rPr>
        <w:t>2</w:t>
      </w:r>
      <w:r>
        <w:rPr>
          <w:rFonts w:hint="eastAsia" w:ascii="宋体" w:eastAsia="宋体"/>
          <w:szCs w:val="21"/>
        </w:rPr>
        <w:t>补施生石灰</w:t>
      </w:r>
      <w:r>
        <w:rPr>
          <w:rFonts w:ascii="宋体" w:eastAsia="宋体"/>
          <w:szCs w:val="21"/>
        </w:rPr>
        <w:t>50</w:t>
      </w:r>
      <w:r>
        <w:rPr>
          <w:rFonts w:hint="eastAsia" w:ascii="宋体" w:eastAsia="宋体"/>
          <w:szCs w:val="21"/>
        </w:rPr>
        <w:t xml:space="preserve"> kg～10</w:t>
      </w:r>
      <w:r>
        <w:rPr>
          <w:rFonts w:ascii="宋体" w:eastAsia="宋体"/>
          <w:szCs w:val="21"/>
        </w:rPr>
        <w:t>0</w:t>
      </w:r>
      <w:r>
        <w:rPr>
          <w:rFonts w:hint="eastAsia" w:ascii="宋体" w:eastAsia="宋体"/>
          <w:szCs w:val="21"/>
        </w:rPr>
        <w:t xml:space="preserve"> kg，或钙镁磷肥20 kg；碱性土壤每666.7 m</w:t>
      </w:r>
      <w:r>
        <w:rPr>
          <w:rFonts w:hint="eastAsia" w:ascii="宋体" w:eastAsia="宋体"/>
          <w:szCs w:val="21"/>
          <w:vertAlign w:val="superscript"/>
        </w:rPr>
        <w:t>2</w:t>
      </w:r>
      <w:r>
        <w:rPr>
          <w:rFonts w:hint="eastAsia" w:ascii="宋体" w:eastAsia="宋体"/>
          <w:szCs w:val="21"/>
        </w:rPr>
        <w:t>补施过磷酸钙2</w:t>
      </w:r>
      <w:r>
        <w:rPr>
          <w:rFonts w:ascii="宋体" w:eastAsia="宋体"/>
          <w:szCs w:val="21"/>
        </w:rPr>
        <w:t>0</w:t>
      </w:r>
      <w:r>
        <w:rPr>
          <w:rFonts w:hint="eastAsia" w:ascii="宋体" w:eastAsia="宋体"/>
          <w:szCs w:val="21"/>
        </w:rPr>
        <w:t xml:space="preserve"> kg。</w:t>
      </w:r>
    </w:p>
    <w:p>
      <w:pPr>
        <w:pStyle w:val="99"/>
        <w:spacing w:before="156" w:after="156"/>
        <w:rPr>
          <w:rFonts w:ascii="宋体" w:eastAsia="宋体"/>
          <w:szCs w:val="21"/>
        </w:rPr>
      </w:pPr>
      <w:r>
        <w:rPr>
          <w:rFonts w:hint="eastAsia" w:ascii="宋体" w:eastAsia="宋体"/>
          <w:szCs w:val="21"/>
        </w:rPr>
        <w:t>缺铁土壤每666.7 m</w:t>
      </w:r>
      <w:r>
        <w:rPr>
          <w:rFonts w:hint="eastAsia" w:ascii="宋体" w:eastAsia="宋体"/>
          <w:szCs w:val="21"/>
          <w:vertAlign w:val="superscript"/>
        </w:rPr>
        <w:t>2</w:t>
      </w:r>
      <w:r>
        <w:rPr>
          <w:rFonts w:hint="eastAsia" w:ascii="宋体" w:eastAsia="宋体"/>
          <w:szCs w:val="21"/>
        </w:rPr>
        <w:t>补施硫酸亚铁</w:t>
      </w:r>
      <w:r>
        <w:rPr>
          <w:rFonts w:ascii="宋体" w:eastAsia="宋体"/>
          <w:szCs w:val="21"/>
        </w:rPr>
        <w:t>3</w:t>
      </w:r>
      <w:r>
        <w:rPr>
          <w:rFonts w:hint="eastAsia" w:ascii="宋体" w:eastAsia="宋体"/>
          <w:szCs w:val="21"/>
        </w:rPr>
        <w:t xml:space="preserve"> kg。</w:t>
      </w:r>
    </w:p>
    <w:p>
      <w:pPr>
        <w:pStyle w:val="106"/>
        <w:spacing w:before="156" w:after="156"/>
        <w:ind w:left="0"/>
      </w:pPr>
      <w:bookmarkStart w:id="78" w:name="_Toc96679419"/>
      <w:bookmarkStart w:id="79" w:name="_Toc183013836"/>
      <w:r>
        <w:rPr>
          <w:rFonts w:hint="eastAsia"/>
        </w:rPr>
        <w:t>播种</w:t>
      </w:r>
      <w:bookmarkEnd w:id="78"/>
      <w:bookmarkEnd w:id="79"/>
    </w:p>
    <w:p>
      <w:pPr>
        <w:pStyle w:val="66"/>
        <w:spacing w:before="156" w:after="156"/>
        <w:ind w:left="0"/>
      </w:pPr>
      <w:bookmarkStart w:id="80" w:name="_Toc96679422"/>
      <w:bookmarkStart w:id="81" w:name="_Toc96679420"/>
      <w:r>
        <w:rPr>
          <w:rFonts w:hint="eastAsia"/>
        </w:rPr>
        <w:t>播种时期</w:t>
      </w:r>
      <w:bookmarkEnd w:id="80"/>
    </w:p>
    <w:p>
      <w:pPr>
        <w:pStyle w:val="240"/>
        <w:numPr>
          <w:ilvl w:val="0"/>
          <w:numId w:val="0"/>
        </w:numPr>
        <w:ind w:firstLine="420" w:firstLineChars="200"/>
      </w:pPr>
      <w:r>
        <w:rPr>
          <w:rFonts w:hint="eastAsia"/>
        </w:rPr>
        <w:t>当土壤5 cm地温连续5 d稳定在15 ℃以上时即可播种。播种最适宜的墒情为土壤最大持水量的</w:t>
      </w:r>
      <w:r>
        <w:t>60%</w:t>
      </w:r>
      <w:r>
        <w:rPr>
          <w:rFonts w:hint="eastAsia"/>
        </w:rPr>
        <w:t>～</w:t>
      </w:r>
      <w:r>
        <w:t>70%</w:t>
      </w:r>
      <w:r>
        <w:rPr>
          <w:rFonts w:hint="eastAsia"/>
        </w:rPr>
        <w:t>，手握成团，松开即散。</w:t>
      </w:r>
    </w:p>
    <w:p>
      <w:pPr>
        <w:pStyle w:val="66"/>
        <w:spacing w:before="156" w:after="156"/>
        <w:ind w:left="0"/>
      </w:pPr>
      <w:r>
        <w:rPr>
          <w:rFonts w:hint="eastAsia"/>
        </w:rPr>
        <w:t>起垄播种</w:t>
      </w:r>
      <w:bookmarkEnd w:id="81"/>
    </w:p>
    <w:p>
      <w:pPr>
        <w:pStyle w:val="239"/>
        <w:ind w:left="0" w:firstLine="420" w:firstLineChars="200"/>
      </w:pPr>
      <w:r>
        <w:rPr>
          <w:rFonts w:hint="eastAsia"/>
        </w:rPr>
        <w:t>垄高</w:t>
      </w:r>
      <w:r>
        <w:t>12</w:t>
      </w:r>
      <w:r>
        <w:rPr>
          <w:rFonts w:hint="eastAsia"/>
        </w:rPr>
        <w:t xml:space="preserve"> cm～15 cm，垄距75 cm～</w:t>
      </w:r>
      <w:r>
        <w:t>80</w:t>
      </w:r>
      <w:r>
        <w:rPr>
          <w:rFonts w:hint="eastAsia"/>
        </w:rPr>
        <w:t xml:space="preserve"> cm，垄沟宽</w:t>
      </w:r>
      <w:r>
        <w:t>30</w:t>
      </w:r>
      <w:r>
        <w:rPr>
          <w:rFonts w:hint="eastAsia"/>
        </w:rPr>
        <w:t xml:space="preserve"> cm，垄面宽45 cm～</w:t>
      </w:r>
      <w:r>
        <w:t>50</w:t>
      </w:r>
      <w:r>
        <w:rPr>
          <w:rFonts w:hint="eastAsia"/>
        </w:rPr>
        <w:t xml:space="preserve"> cm。垄上种植</w:t>
      </w:r>
      <w:r>
        <w:t>2</w:t>
      </w:r>
      <w:r>
        <w:rPr>
          <w:rFonts w:hint="eastAsia"/>
        </w:rPr>
        <w:t>行花生，行距</w:t>
      </w:r>
      <w:r>
        <w:t>2</w:t>
      </w:r>
      <w:r>
        <w:rPr>
          <w:rFonts w:hint="eastAsia"/>
        </w:rPr>
        <w:t>0 cm～25 cm，花生种植行距垄边10 cm～</w:t>
      </w:r>
      <w:r>
        <w:t>15</w:t>
      </w:r>
      <w:r>
        <w:rPr>
          <w:rFonts w:hint="eastAsia"/>
        </w:rPr>
        <w:t xml:space="preserve"> cm；双粒播种时，株距14 cm～15 cm，每666.7 m</w:t>
      </w:r>
      <w:r>
        <w:rPr>
          <w:rFonts w:hint="eastAsia"/>
          <w:vertAlign w:val="superscript"/>
        </w:rPr>
        <w:t>2</w:t>
      </w:r>
      <w:r>
        <w:rPr>
          <w:rFonts w:hint="eastAsia"/>
        </w:rPr>
        <w:t xml:space="preserve"> 11000穴～12000穴；单粒播种时，株距9 cm～9.2 cm，每666.7 m</w:t>
      </w:r>
      <w:r>
        <w:rPr>
          <w:rFonts w:hint="eastAsia"/>
          <w:vertAlign w:val="superscript"/>
        </w:rPr>
        <w:t>2</w:t>
      </w:r>
      <w:r>
        <w:rPr>
          <w:rFonts w:hint="eastAsia"/>
        </w:rPr>
        <w:t xml:space="preserve"> 18000穴～19000穴。</w:t>
      </w:r>
    </w:p>
    <w:p>
      <w:pPr>
        <w:pStyle w:val="66"/>
        <w:spacing w:before="156" w:after="156"/>
        <w:ind w:left="0"/>
      </w:pPr>
      <w:bookmarkStart w:id="82" w:name="_Toc96679421"/>
      <w:r>
        <w:rPr>
          <w:rFonts w:hint="eastAsia"/>
        </w:rPr>
        <w:t>播种深度</w:t>
      </w:r>
      <w:bookmarkEnd w:id="82"/>
    </w:p>
    <w:p>
      <w:pPr>
        <w:spacing w:line="276" w:lineRule="auto"/>
        <w:ind w:firstLine="420" w:firstLineChars="200"/>
        <w:rPr>
          <w:rFonts w:ascii="宋体"/>
          <w:kern w:val="0"/>
        </w:rPr>
      </w:pPr>
      <w:r>
        <w:rPr>
          <w:rFonts w:hint="eastAsia"/>
        </w:rPr>
        <w:t>深度：</w:t>
      </w:r>
      <w:r>
        <w:rPr>
          <w:rFonts w:ascii="宋体" w:hAnsi="Times New Roman"/>
          <w:kern w:val="0"/>
        </w:rPr>
        <w:t>3</w:t>
      </w:r>
      <w:r>
        <w:rPr>
          <w:rFonts w:hint="eastAsia" w:ascii="宋体" w:hAnsi="Times New Roman"/>
          <w:kern w:val="0"/>
        </w:rPr>
        <w:t xml:space="preserve"> cm～</w:t>
      </w:r>
      <w:r>
        <w:rPr>
          <w:rFonts w:ascii="宋体" w:hAnsi="Times New Roman"/>
          <w:kern w:val="0"/>
        </w:rPr>
        <w:t>5</w:t>
      </w:r>
      <w:r>
        <w:rPr>
          <w:rFonts w:hint="eastAsia" w:ascii="宋体" w:hAnsi="Times New Roman"/>
          <w:kern w:val="0"/>
        </w:rPr>
        <w:t xml:space="preserve"> cm。</w:t>
      </w:r>
      <w:r>
        <w:rPr>
          <w:rFonts w:hint="eastAsia" w:ascii="宋体"/>
          <w:kern w:val="0"/>
        </w:rPr>
        <w:t>播后适当镇压，喷洒苗前除草剂。覆膜播种时可用膜上播种类型的起垄覆膜播种机播种，一次性完成起垄、播种、喷除草剂、覆膜、压膜全过程，地膜厚度为0.007 mm±0.002 mm。地膜应符合GB 13735的规定。</w:t>
      </w:r>
    </w:p>
    <w:p>
      <w:pPr>
        <w:pStyle w:val="106"/>
        <w:spacing w:before="156" w:after="156"/>
        <w:ind w:left="0"/>
      </w:pPr>
      <w:bookmarkStart w:id="83" w:name="_Toc183013837"/>
      <w:bookmarkStart w:id="84" w:name="_Toc96679423"/>
      <w:r>
        <w:rPr>
          <w:rFonts w:hint="eastAsia"/>
        </w:rPr>
        <w:t>田间管理</w:t>
      </w:r>
      <w:bookmarkEnd w:id="83"/>
      <w:bookmarkEnd w:id="84"/>
    </w:p>
    <w:p>
      <w:pPr>
        <w:pStyle w:val="66"/>
        <w:spacing w:before="156" w:after="156"/>
        <w:ind w:left="0"/>
      </w:pPr>
      <w:bookmarkStart w:id="85" w:name="_Toc96679424"/>
      <w:r>
        <w:rPr>
          <w:rFonts w:hint="eastAsia"/>
        </w:rPr>
        <w:t>苗期管理</w:t>
      </w:r>
      <w:bookmarkEnd w:id="85"/>
    </w:p>
    <w:p>
      <w:pPr>
        <w:pStyle w:val="95"/>
        <w:spacing w:before="156" w:after="156"/>
      </w:pPr>
      <w:r>
        <w:rPr>
          <w:rFonts w:hint="eastAsia"/>
        </w:rPr>
        <w:t>及时补苗，清棵蹲苗</w:t>
      </w:r>
    </w:p>
    <w:p>
      <w:pPr>
        <w:spacing w:line="276" w:lineRule="auto"/>
        <w:ind w:firstLine="420" w:firstLineChars="200"/>
        <w:rPr>
          <w:rFonts w:ascii="宋体" w:hAnsi="宋体"/>
        </w:rPr>
      </w:pPr>
      <w:r>
        <w:rPr>
          <w:rFonts w:hint="eastAsia" w:ascii="宋体" w:hAnsi="宋体"/>
        </w:rPr>
        <w:t>播种出苗后如有缺苗需及时查苗补种；齐苗后5 d及时清棵蹲苗。</w:t>
      </w:r>
    </w:p>
    <w:p>
      <w:pPr>
        <w:pStyle w:val="95"/>
        <w:spacing w:before="156" w:after="156"/>
      </w:pPr>
      <w:r>
        <w:rPr>
          <w:rFonts w:hint="eastAsia"/>
        </w:rPr>
        <w:t>水分管理</w:t>
      </w:r>
    </w:p>
    <w:p>
      <w:pPr>
        <w:spacing w:line="276" w:lineRule="auto"/>
        <w:ind w:firstLine="420" w:firstLineChars="200"/>
        <w:rPr>
          <w:rFonts w:ascii="宋体" w:hAnsi="宋体"/>
        </w:rPr>
      </w:pPr>
      <w:r>
        <w:rPr>
          <w:rFonts w:hint="eastAsia" w:ascii="宋体" w:hAnsi="宋体"/>
        </w:rPr>
        <w:t>苗期适当控苗，干旱时少量雾管浇灌。</w:t>
      </w:r>
    </w:p>
    <w:p>
      <w:pPr>
        <w:pStyle w:val="66"/>
        <w:spacing w:before="156" w:after="156"/>
        <w:ind w:left="0"/>
      </w:pPr>
      <w:bookmarkStart w:id="86" w:name="_Toc96679425"/>
      <w:r>
        <w:rPr>
          <w:rFonts w:hint="eastAsia"/>
        </w:rPr>
        <w:t>开花下针期管理</w:t>
      </w:r>
      <w:bookmarkEnd w:id="86"/>
    </w:p>
    <w:p>
      <w:pPr>
        <w:pStyle w:val="95"/>
        <w:spacing w:before="156" w:after="156"/>
      </w:pPr>
      <w:r>
        <w:rPr>
          <w:rFonts w:hint="eastAsia"/>
        </w:rPr>
        <w:t>水肥管理</w:t>
      </w:r>
    </w:p>
    <w:p>
      <w:pPr>
        <w:spacing w:line="276" w:lineRule="auto"/>
        <w:ind w:firstLine="420" w:firstLineChars="200"/>
        <w:rPr>
          <w:rFonts w:ascii="宋体" w:hAnsi="宋体"/>
        </w:rPr>
      </w:pPr>
      <w:r>
        <w:rPr>
          <w:rFonts w:hint="eastAsia" w:ascii="宋体" w:hAnsi="宋体"/>
        </w:rPr>
        <w:t>当土壤相对含水量低于60％时，及时灌溉。雨水过多时要及时排涝。可根据缺肥情况叶面喷施尿素、磷酸二氢钾或铁、硼、钼等中微量元素。灌溉水应符合GB 5084-2021的规定。</w:t>
      </w:r>
    </w:p>
    <w:p>
      <w:pPr>
        <w:pStyle w:val="95"/>
        <w:spacing w:before="156" w:after="156"/>
      </w:pPr>
      <w:r>
        <w:rPr>
          <w:rFonts w:hint="eastAsia"/>
        </w:rPr>
        <w:t>病虫草害防治</w:t>
      </w:r>
    </w:p>
    <w:p>
      <w:pPr>
        <w:pStyle w:val="57"/>
        <w:ind w:firstLine="420"/>
      </w:pPr>
      <w:r>
        <w:rPr>
          <w:rFonts w:hint="eastAsia"/>
        </w:rPr>
        <w:t>应优先采用农业和生物防治措施，充分利用自然因素(如天敌等)控制害虫。尽量不使用苗后除草剂和杀虫剂。病虫草害种类、防治时期及方法参见附录表A.1，药剂使用应符合GB/T 8321的规定。具体措施符合</w:t>
      </w:r>
      <w:r>
        <w:t xml:space="preserve">NY/T </w:t>
      </w:r>
      <w:r>
        <w:rPr>
          <w:rFonts w:hint="eastAsia"/>
        </w:rPr>
        <w:t>2393</w:t>
      </w:r>
      <w:r>
        <w:t>-20</w:t>
      </w:r>
      <w:r>
        <w:rPr>
          <w:rFonts w:hint="eastAsia"/>
        </w:rPr>
        <w:t>13</w:t>
      </w:r>
      <w:r>
        <w:t xml:space="preserve"> </w:t>
      </w:r>
      <w:r>
        <w:rPr>
          <w:rFonts w:hint="eastAsia"/>
        </w:rPr>
        <w:t>、</w:t>
      </w:r>
      <w:r>
        <w:t xml:space="preserve">NY/T </w:t>
      </w:r>
      <w:r>
        <w:rPr>
          <w:rFonts w:hint="eastAsia"/>
        </w:rPr>
        <w:t>2394</w:t>
      </w:r>
      <w:r>
        <w:t>-20</w:t>
      </w:r>
      <w:r>
        <w:rPr>
          <w:rFonts w:hint="eastAsia"/>
        </w:rPr>
        <w:t>13 、</w:t>
      </w:r>
      <w:r>
        <w:t xml:space="preserve">NY/T </w:t>
      </w:r>
      <w:r>
        <w:rPr>
          <w:rFonts w:hint="eastAsia"/>
        </w:rPr>
        <w:t>2395</w:t>
      </w:r>
      <w:r>
        <w:t>-20</w:t>
      </w:r>
      <w:r>
        <w:rPr>
          <w:rFonts w:hint="eastAsia"/>
        </w:rPr>
        <w:t>13 的规定。</w:t>
      </w:r>
    </w:p>
    <w:p>
      <w:pPr>
        <w:pStyle w:val="66"/>
        <w:spacing w:before="156" w:after="156"/>
        <w:ind w:left="0"/>
      </w:pPr>
      <w:bookmarkStart w:id="87" w:name="_Toc96679426"/>
      <w:r>
        <w:rPr>
          <w:rFonts w:hint="eastAsia"/>
        </w:rPr>
        <w:t>结荚期管理</w:t>
      </w:r>
      <w:bookmarkEnd w:id="87"/>
    </w:p>
    <w:p>
      <w:pPr>
        <w:pStyle w:val="95"/>
        <w:spacing w:before="156" w:after="156"/>
      </w:pPr>
      <w:r>
        <w:rPr>
          <w:rFonts w:hint="eastAsia"/>
        </w:rPr>
        <w:t>培土</w:t>
      </w:r>
    </w:p>
    <w:p>
      <w:pPr>
        <w:spacing w:line="276" w:lineRule="auto"/>
        <w:ind w:firstLine="420" w:firstLineChars="200"/>
        <w:rPr>
          <w:rFonts w:ascii="宋体" w:hAnsi="宋体"/>
        </w:rPr>
      </w:pPr>
      <w:r>
        <w:rPr>
          <w:rFonts w:hint="eastAsia" w:ascii="宋体" w:hAnsi="宋体"/>
        </w:rPr>
        <w:t>在花生达到盛花期时，植株封垄和大批果针入土前，及时培土，将垄行间的土培到垄上，使垄的外缘加高，缩短高节位果针的入土距离。</w:t>
      </w:r>
    </w:p>
    <w:p>
      <w:pPr>
        <w:pStyle w:val="95"/>
        <w:spacing w:before="156" w:after="156"/>
      </w:pPr>
      <w:r>
        <w:rPr>
          <w:rFonts w:hint="eastAsia"/>
        </w:rPr>
        <w:t>排涝防旱</w:t>
      </w:r>
    </w:p>
    <w:p>
      <w:pPr>
        <w:pStyle w:val="57"/>
        <w:ind w:firstLine="420"/>
      </w:pPr>
      <w:r>
        <w:rPr>
          <w:rFonts w:hint="eastAsia"/>
        </w:rPr>
        <w:t>花生进入结荚期多在雨季，当降雨过多，田间出现积水时要及时进行开沟排涝；若遇干旱，出现萎蔫，需及时补水灌溉。</w:t>
      </w:r>
    </w:p>
    <w:p>
      <w:pPr>
        <w:pStyle w:val="95"/>
        <w:spacing w:before="156" w:after="156"/>
      </w:pPr>
      <w:r>
        <w:rPr>
          <w:rFonts w:hint="eastAsia"/>
        </w:rPr>
        <w:t>控旺防倒</w:t>
      </w:r>
    </w:p>
    <w:p>
      <w:pPr>
        <w:spacing w:line="276" w:lineRule="auto"/>
        <w:ind w:firstLine="420" w:firstLineChars="200"/>
        <w:rPr>
          <w:rFonts w:ascii="宋体" w:hAnsi="宋体"/>
        </w:rPr>
      </w:pPr>
      <w:r>
        <w:rPr>
          <w:rFonts w:hint="eastAsia" w:ascii="宋体" w:hAnsi="宋体"/>
        </w:rPr>
        <w:t>株高达30 cm</w:t>
      </w:r>
      <w:r>
        <w:rPr>
          <w:rFonts w:hint="eastAsia"/>
        </w:rPr>
        <w:t>～</w:t>
      </w:r>
      <w:r>
        <w:rPr>
          <w:rFonts w:hint="eastAsia" w:ascii="宋体" w:hAnsi="宋体"/>
        </w:rPr>
        <w:t>35 cm且有明显持续旺长迹象时，及时控旺防倒。每66</w:t>
      </w:r>
      <w:r>
        <w:rPr>
          <w:rFonts w:hint="default" w:ascii="宋体" w:hAnsi="宋体"/>
          <w:lang w:val="en"/>
        </w:rPr>
        <w:t>6.7</w:t>
      </w:r>
      <w:r>
        <w:rPr>
          <w:rFonts w:hint="eastAsia" w:ascii="宋体" w:hAnsi="宋体"/>
        </w:rPr>
        <w:t xml:space="preserve"> m</w:t>
      </w:r>
      <w:r>
        <w:rPr>
          <w:rFonts w:hint="eastAsia" w:ascii="宋体" w:hAnsi="宋体"/>
          <w:vertAlign w:val="superscript"/>
        </w:rPr>
        <w:t>2</w:t>
      </w:r>
      <w:r>
        <w:rPr>
          <w:rFonts w:hint="eastAsia" w:ascii="宋体" w:hAnsi="宋体"/>
        </w:rPr>
        <w:t>可用15％烯效唑可湿性粉剂50 g</w:t>
      </w:r>
      <w:r>
        <w:rPr>
          <w:rFonts w:hint="eastAsia"/>
        </w:rPr>
        <w:t>～</w:t>
      </w:r>
      <w:r>
        <w:rPr>
          <w:rFonts w:hint="eastAsia" w:ascii="宋体" w:hAnsi="宋体"/>
        </w:rPr>
        <w:t>80 g，兑水30 kg，茎叶喷雾。</w:t>
      </w:r>
    </w:p>
    <w:p>
      <w:pPr>
        <w:pStyle w:val="66"/>
        <w:spacing w:before="156" w:after="156"/>
        <w:ind w:left="0"/>
      </w:pPr>
      <w:r>
        <w:rPr>
          <w:rFonts w:hint="eastAsia"/>
        </w:rPr>
        <w:t>饱果成熟期管理</w:t>
      </w:r>
    </w:p>
    <w:p>
      <w:pPr>
        <w:pStyle w:val="95"/>
        <w:spacing w:before="156" w:after="156"/>
      </w:pPr>
      <w:r>
        <w:rPr>
          <w:rFonts w:hint="eastAsia"/>
        </w:rPr>
        <w:t>喷肥保叶</w:t>
      </w:r>
    </w:p>
    <w:p>
      <w:pPr>
        <w:pStyle w:val="57"/>
        <w:ind w:firstLine="420"/>
        <w:rPr>
          <w:rFonts w:hAnsi="宋体"/>
          <w:kern w:val="2"/>
          <w:szCs w:val="21"/>
        </w:rPr>
      </w:pPr>
      <w:r>
        <w:rPr>
          <w:rFonts w:hint="eastAsia" w:hAnsi="宋体"/>
          <w:kern w:val="2"/>
          <w:szCs w:val="21"/>
        </w:rPr>
        <w:t>从结荚后期开始，每隔10 d ～15 d叶面喷施一次0.2%～0.3%的磷酸二氢钾和1%～2%的尿素混合水溶液，共喷2次～3次，增强顶部叶片活力，提高饱果率；若有微量元素缺乏症状，及时喷施相应微肥。</w:t>
      </w:r>
    </w:p>
    <w:p>
      <w:pPr>
        <w:pStyle w:val="95"/>
        <w:spacing w:before="156" w:after="156"/>
        <w:rPr>
          <w:kern w:val="2"/>
        </w:rPr>
      </w:pPr>
      <w:r>
        <w:rPr>
          <w:rFonts w:hint="eastAsia"/>
          <w:kern w:val="2"/>
        </w:rPr>
        <w:t>排灌护根</w:t>
      </w:r>
    </w:p>
    <w:p>
      <w:pPr>
        <w:pStyle w:val="57"/>
        <w:ind w:firstLine="420"/>
        <w:rPr>
          <w:rFonts w:hAnsi="宋体"/>
          <w:kern w:val="2"/>
          <w:szCs w:val="21"/>
        </w:rPr>
      </w:pPr>
      <w:r>
        <w:rPr>
          <w:rFonts w:hint="eastAsia" w:hAnsi="宋体"/>
          <w:kern w:val="2"/>
          <w:szCs w:val="21"/>
        </w:rPr>
        <w:t>若降雨过多，田间排水不良，需要及时排除积水，防止内涝；若遇严重干旱，需及时轻浇润灌，以维持根系活力。</w:t>
      </w:r>
    </w:p>
    <w:p>
      <w:pPr>
        <w:pStyle w:val="95"/>
        <w:spacing w:before="156" w:after="156"/>
        <w:rPr>
          <w:kern w:val="2"/>
        </w:rPr>
      </w:pPr>
      <w:r>
        <w:rPr>
          <w:rFonts w:hint="eastAsia"/>
          <w:kern w:val="2"/>
        </w:rPr>
        <w:t>防病不早衰</w:t>
      </w:r>
    </w:p>
    <w:p>
      <w:pPr>
        <w:pStyle w:val="57"/>
        <w:ind w:firstLine="420"/>
        <w:rPr>
          <w:rFonts w:hAnsi="宋体"/>
          <w:kern w:val="2"/>
          <w:szCs w:val="21"/>
        </w:rPr>
      </w:pPr>
      <w:r>
        <w:rPr>
          <w:rFonts w:hint="eastAsia" w:hAnsi="宋体"/>
          <w:kern w:val="2"/>
          <w:szCs w:val="21"/>
        </w:rPr>
        <w:t>饱果成熟期是花生叶斑病高发时期，发现病情后及时喷药，每隔10 d～15 d喷一次杀菌剂，连续喷洒3次～4次，确保植株不早衰。</w:t>
      </w:r>
    </w:p>
    <w:p>
      <w:pPr>
        <w:pStyle w:val="105"/>
        <w:spacing w:before="312" w:after="312"/>
      </w:pPr>
      <w:bookmarkStart w:id="88" w:name="_Toc96679427"/>
      <w:bookmarkStart w:id="89" w:name="_Toc183013838"/>
      <w:r>
        <w:rPr>
          <w:rFonts w:hint="eastAsia"/>
        </w:rPr>
        <w:t>收获</w:t>
      </w:r>
      <w:bookmarkEnd w:id="88"/>
      <w:bookmarkEnd w:id="89"/>
    </w:p>
    <w:p>
      <w:pPr>
        <w:pStyle w:val="106"/>
        <w:spacing w:before="156" w:after="156"/>
        <w:ind w:left="0"/>
      </w:pPr>
      <w:bookmarkStart w:id="90" w:name="_Toc183013839"/>
      <w:r>
        <w:rPr>
          <w:rFonts w:hint="eastAsia"/>
        </w:rPr>
        <w:t>收获时期</w:t>
      </w:r>
      <w:bookmarkEnd w:id="90"/>
    </w:p>
    <w:p>
      <w:pPr>
        <w:ind w:firstLine="420" w:firstLineChars="200"/>
        <w:rPr>
          <w:rFonts w:ascii="宋体" w:hAnsi="宋体"/>
        </w:rPr>
      </w:pPr>
      <w:r>
        <w:rPr>
          <w:rFonts w:ascii="宋体" w:hAnsi="宋体"/>
        </w:rPr>
        <w:t>花生地上部</w:t>
      </w:r>
      <w:r>
        <w:rPr>
          <w:rFonts w:hint="eastAsia" w:ascii="宋体" w:hAnsi="宋体"/>
        </w:rPr>
        <w:t>1/3</w:t>
      </w:r>
      <w:r>
        <w:rPr>
          <w:rFonts w:ascii="宋体" w:hAnsi="宋体"/>
        </w:rPr>
        <w:t>茎叶变黄、中下部叶片脱落,</w:t>
      </w:r>
      <w:r>
        <w:rPr>
          <w:rFonts w:hint="default" w:ascii="宋体" w:hAnsi="宋体"/>
          <w:lang w:val="en"/>
        </w:rPr>
        <w:t>8</w:t>
      </w:r>
      <w:r>
        <w:rPr>
          <w:rFonts w:ascii="宋体" w:hAnsi="宋体"/>
        </w:rPr>
        <w:t>0%以上荚果饱满,果壳网络清晰,种仁光滑饱满,并呈现品种固有色泽即可采收。</w:t>
      </w:r>
    </w:p>
    <w:p>
      <w:pPr>
        <w:pStyle w:val="106"/>
        <w:spacing w:before="156" w:after="156"/>
        <w:ind w:left="0"/>
      </w:pPr>
      <w:bookmarkStart w:id="91" w:name="_Toc183013840"/>
      <w:r>
        <w:rPr>
          <w:rFonts w:hint="eastAsia"/>
        </w:rPr>
        <w:t>收获方式</w:t>
      </w:r>
      <w:bookmarkEnd w:id="91"/>
    </w:p>
    <w:p>
      <w:pPr>
        <w:ind w:firstLine="420" w:firstLineChars="200"/>
        <w:rPr>
          <w:rFonts w:ascii="宋体" w:hAnsi="宋体"/>
        </w:rPr>
      </w:pPr>
      <w:r>
        <w:rPr>
          <w:rFonts w:hint="eastAsia" w:ascii="宋体" w:hAnsi="宋体"/>
        </w:rPr>
        <w:t>收货时可采用花生联合收获机或分段式收获机收获。</w:t>
      </w:r>
    </w:p>
    <w:p>
      <w:pPr>
        <w:pStyle w:val="106"/>
        <w:spacing w:before="156" w:after="156"/>
        <w:ind w:left="0"/>
      </w:pPr>
      <w:bookmarkStart w:id="92" w:name="_Toc183013841"/>
      <w:r>
        <w:rPr>
          <w:rFonts w:hint="eastAsia"/>
        </w:rPr>
        <w:t>晾晒贮藏</w:t>
      </w:r>
      <w:bookmarkEnd w:id="92"/>
    </w:p>
    <w:p>
      <w:pPr>
        <w:ind w:firstLine="420" w:firstLineChars="200"/>
        <w:rPr>
          <w:rFonts w:ascii="宋体" w:hAnsi="宋体"/>
        </w:rPr>
      </w:pPr>
      <w:r>
        <w:rPr>
          <w:rFonts w:ascii="宋体" w:hAnsi="宋体"/>
        </w:rPr>
        <w:t>花生收获后及时晾晒,当荚果含水量低于10%,籽仁含水量低于9%时即可入库,贮存于干燥、通风</w:t>
      </w:r>
    </w:p>
    <w:p>
      <w:pPr>
        <w:rPr>
          <w:rFonts w:ascii="宋体" w:hAnsi="宋体"/>
        </w:rPr>
      </w:pPr>
      <w:r>
        <w:rPr>
          <w:rFonts w:ascii="宋体" w:hAnsi="宋体"/>
        </w:rPr>
        <w:t>处。水分测定应符合GB/T 5491和GB 14489.1的规定。</w:t>
      </w:r>
    </w:p>
    <w:p>
      <w:pPr>
        <w:ind w:firstLine="420" w:firstLineChars="200"/>
        <w:jc w:val="center"/>
        <w:rPr>
          <w:rFonts w:ascii="黑体" w:hAnsi="黑体" w:eastAsia="黑体" w:cs="黑体"/>
        </w:rPr>
      </w:pPr>
    </w:p>
    <w:p>
      <w:pPr>
        <w:ind w:firstLine="420" w:firstLineChars="200"/>
        <w:jc w:val="center"/>
        <w:rPr>
          <w:rFonts w:ascii="黑体" w:hAnsi="黑体" w:eastAsia="黑体" w:cs="黑体"/>
        </w:rPr>
      </w:pPr>
    </w:p>
    <w:p>
      <w:pPr>
        <w:ind w:firstLine="420" w:firstLineChars="200"/>
        <w:jc w:val="center"/>
        <w:rPr>
          <w:rFonts w:ascii="黑体" w:hAnsi="黑体" w:eastAsia="黑体" w:cs="黑体"/>
        </w:rPr>
      </w:pPr>
    </w:p>
    <w:p>
      <w:pPr>
        <w:ind w:firstLine="420" w:firstLineChars="200"/>
        <w:jc w:val="center"/>
        <w:rPr>
          <w:rFonts w:ascii="黑体" w:hAnsi="黑体" w:eastAsia="黑体" w:cs="黑体"/>
        </w:rPr>
      </w:pPr>
    </w:p>
    <w:p>
      <w:pPr>
        <w:rPr>
          <w:rFonts w:ascii="黑体" w:hAnsi="黑体" w:eastAsia="黑体" w:cs="黑体"/>
        </w:rPr>
      </w:pPr>
    </w:p>
    <w:p>
      <w:pPr>
        <w:pStyle w:val="57"/>
        <w:ind w:firstLine="420"/>
        <w:sectPr>
          <w:pgSz w:w="11906" w:h="16838"/>
          <w:pgMar w:top="2410" w:right="1134" w:bottom="1134" w:left="1134" w:header="1418" w:footer="1134" w:gutter="284"/>
          <w:pgNumType w:start="1"/>
          <w:cols w:space="425" w:num="1"/>
          <w:formProt w:val="0"/>
          <w:docGrid w:type="lines" w:linePitch="312" w:charSpace="0"/>
        </w:sectPr>
      </w:pPr>
    </w:p>
    <w:bookmarkEnd w:id="25"/>
    <w:p>
      <w:pPr>
        <w:pStyle w:val="199"/>
        <w:rPr>
          <w:vanish w:val="0"/>
        </w:rPr>
      </w:pPr>
      <w:bookmarkStart w:id="93" w:name="BookMark5"/>
    </w:p>
    <w:p>
      <w:pPr>
        <w:pStyle w:val="200"/>
        <w:rPr>
          <w:vanish w:val="0"/>
        </w:rPr>
      </w:pPr>
    </w:p>
    <w:p>
      <w:pPr>
        <w:pStyle w:val="77"/>
        <w:spacing w:before="78" w:after="156"/>
      </w:pPr>
      <w:r>
        <w:br w:type="textWrapping"/>
      </w:r>
      <w:bookmarkStart w:id="94" w:name="_Toc183013842"/>
      <w:r>
        <w:rPr>
          <w:rFonts w:hint="eastAsia"/>
        </w:rPr>
        <w:t>（规范性）</w:t>
      </w:r>
      <w:r>
        <w:br w:type="textWrapping"/>
      </w:r>
      <w:r>
        <w:rPr>
          <w:rFonts w:hint="eastAsia"/>
        </w:rPr>
        <w:t>花生主要病虫草害种类及其防治方法</w:t>
      </w:r>
      <w:bookmarkEnd w:id="94"/>
    </w:p>
    <w:p>
      <w:pPr>
        <w:pStyle w:val="78"/>
        <w:spacing w:before="156" w:after="156"/>
      </w:pPr>
      <w:r>
        <w:rPr>
          <w:rFonts w:hint="eastAsia"/>
        </w:rPr>
        <w:t>花生主要病虫草害种类及其防治方法</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1162"/>
        <w:gridCol w:w="1700"/>
        <w:gridCol w:w="2835"/>
        <w:gridCol w:w="1277"/>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Align w:val="center"/>
          </w:tcPr>
          <w:p>
            <w:pPr>
              <w:jc w:val="center"/>
              <w:rPr>
                <w:rFonts w:ascii="宋体" w:hAnsi="宋体"/>
                <w:sz w:val="18"/>
                <w:szCs w:val="18"/>
              </w:rPr>
            </w:pPr>
            <w:r>
              <w:rPr>
                <w:rFonts w:hint="eastAsia" w:ascii="宋体" w:hAnsi="宋体"/>
                <w:sz w:val="18"/>
                <w:szCs w:val="18"/>
              </w:rPr>
              <w:t>类型</w:t>
            </w:r>
          </w:p>
        </w:tc>
        <w:tc>
          <w:tcPr>
            <w:tcW w:w="607" w:type="pct"/>
            <w:vAlign w:val="center"/>
          </w:tcPr>
          <w:p>
            <w:pPr>
              <w:jc w:val="center"/>
              <w:rPr>
                <w:rFonts w:ascii="宋体" w:hAnsi="宋体"/>
                <w:sz w:val="18"/>
                <w:szCs w:val="18"/>
              </w:rPr>
            </w:pPr>
            <w:r>
              <w:rPr>
                <w:rFonts w:hint="eastAsia" w:ascii="宋体" w:hAnsi="宋体"/>
                <w:sz w:val="18"/>
                <w:szCs w:val="18"/>
              </w:rPr>
              <w:t>防治对象</w:t>
            </w:r>
          </w:p>
        </w:tc>
        <w:tc>
          <w:tcPr>
            <w:tcW w:w="888" w:type="pct"/>
            <w:vAlign w:val="center"/>
          </w:tcPr>
          <w:p>
            <w:pPr>
              <w:jc w:val="center"/>
              <w:rPr>
                <w:rFonts w:ascii="宋体" w:hAnsi="宋体"/>
                <w:sz w:val="18"/>
                <w:szCs w:val="18"/>
              </w:rPr>
            </w:pPr>
            <w:r>
              <w:rPr>
                <w:rFonts w:hint="eastAsia" w:ascii="宋体" w:hAnsi="宋体"/>
                <w:sz w:val="18"/>
                <w:szCs w:val="18"/>
              </w:rPr>
              <w:t>使用药剂</w:t>
            </w:r>
          </w:p>
        </w:tc>
        <w:tc>
          <w:tcPr>
            <w:tcW w:w="1481" w:type="pct"/>
            <w:vAlign w:val="center"/>
          </w:tcPr>
          <w:p>
            <w:pPr>
              <w:ind w:firstLine="360" w:firstLineChars="200"/>
              <w:jc w:val="center"/>
              <w:rPr>
                <w:rFonts w:ascii="宋体" w:hAnsi="宋体"/>
                <w:sz w:val="18"/>
                <w:szCs w:val="18"/>
              </w:rPr>
            </w:pPr>
            <w:r>
              <w:rPr>
                <w:rFonts w:hint="eastAsia" w:ascii="宋体" w:hAnsi="宋体"/>
                <w:sz w:val="18"/>
                <w:szCs w:val="18"/>
              </w:rPr>
              <w:t>使用剂量或稀释倍数</w:t>
            </w:r>
          </w:p>
        </w:tc>
        <w:tc>
          <w:tcPr>
            <w:tcW w:w="667" w:type="pct"/>
            <w:vAlign w:val="center"/>
          </w:tcPr>
          <w:p>
            <w:pPr>
              <w:jc w:val="center"/>
              <w:rPr>
                <w:rFonts w:ascii="宋体" w:hAnsi="宋体"/>
                <w:sz w:val="18"/>
                <w:szCs w:val="18"/>
              </w:rPr>
            </w:pPr>
            <w:r>
              <w:rPr>
                <w:rFonts w:hint="eastAsia" w:ascii="宋体" w:hAnsi="宋体"/>
                <w:sz w:val="18"/>
                <w:szCs w:val="18"/>
              </w:rPr>
              <w:t>使用方法</w:t>
            </w:r>
          </w:p>
        </w:tc>
        <w:tc>
          <w:tcPr>
            <w:tcW w:w="944" w:type="pct"/>
            <w:vAlign w:val="center"/>
          </w:tcPr>
          <w:p>
            <w:pPr>
              <w:ind w:firstLine="360" w:firstLineChars="200"/>
              <w:jc w:val="center"/>
              <w:rPr>
                <w:rFonts w:ascii="宋体" w:hAnsi="宋体"/>
                <w:sz w:val="18"/>
                <w:szCs w:val="18"/>
              </w:rPr>
            </w:pPr>
            <w:r>
              <w:rPr>
                <w:rFonts w:hint="eastAsia" w:ascii="宋体" w:hAnsi="宋体"/>
                <w:sz w:val="18"/>
                <w:szCs w:val="18"/>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8" w:hRule="atLeast"/>
        </w:trPr>
        <w:tc>
          <w:tcPr>
            <w:tcW w:w="413" w:type="pct"/>
            <w:vMerge w:val="restart"/>
            <w:vAlign w:val="center"/>
          </w:tcPr>
          <w:p>
            <w:pPr>
              <w:jc w:val="center"/>
              <w:rPr>
                <w:rFonts w:ascii="宋体" w:hAnsi="宋体"/>
                <w:sz w:val="18"/>
                <w:szCs w:val="18"/>
              </w:rPr>
            </w:pPr>
            <w:r>
              <w:rPr>
                <w:rFonts w:hint="eastAsia" w:ascii="宋体" w:hAnsi="宋体"/>
                <w:sz w:val="18"/>
                <w:szCs w:val="18"/>
              </w:rPr>
              <w:t>病害</w:t>
            </w:r>
          </w:p>
        </w:tc>
        <w:tc>
          <w:tcPr>
            <w:tcW w:w="607" w:type="pct"/>
            <w:vAlign w:val="center"/>
          </w:tcPr>
          <w:p>
            <w:pPr>
              <w:jc w:val="center"/>
              <w:rPr>
                <w:rFonts w:ascii="宋体" w:hAnsi="宋体"/>
                <w:sz w:val="18"/>
                <w:szCs w:val="18"/>
              </w:rPr>
            </w:pPr>
            <w:r>
              <w:rPr>
                <w:rFonts w:hint="eastAsia" w:ascii="宋体" w:hAnsi="宋体"/>
                <w:sz w:val="18"/>
                <w:szCs w:val="18"/>
              </w:rPr>
              <w:t>叶斑病</w:t>
            </w:r>
          </w:p>
        </w:tc>
        <w:tc>
          <w:tcPr>
            <w:tcW w:w="888" w:type="pct"/>
            <w:vAlign w:val="center"/>
          </w:tcPr>
          <w:p>
            <w:pPr>
              <w:jc w:val="center"/>
              <w:rPr>
                <w:rFonts w:ascii="宋体" w:hAnsi="宋体"/>
                <w:sz w:val="18"/>
                <w:szCs w:val="18"/>
              </w:rPr>
            </w:pPr>
            <w:r>
              <w:rPr>
                <w:rFonts w:hint="eastAsia" w:ascii="宋体" w:hAnsi="宋体"/>
                <w:sz w:val="18"/>
                <w:szCs w:val="18"/>
              </w:rPr>
              <w:t>苯醚甲环唑</w:t>
            </w:r>
          </w:p>
        </w:tc>
        <w:tc>
          <w:tcPr>
            <w:tcW w:w="1481" w:type="pct"/>
            <w:vAlign w:val="center"/>
          </w:tcPr>
          <w:p>
            <w:pPr>
              <w:jc w:val="center"/>
              <w:rPr>
                <w:rFonts w:ascii="宋体" w:hAnsi="宋体"/>
                <w:sz w:val="18"/>
                <w:szCs w:val="18"/>
              </w:rPr>
            </w:pPr>
            <w:r>
              <w:rPr>
                <w:rFonts w:hint="eastAsia" w:ascii="宋体" w:hAnsi="宋体"/>
                <w:sz w:val="18"/>
                <w:szCs w:val="18"/>
              </w:rPr>
              <w:t>10%苯醚甲环唑3000倍液</w:t>
            </w:r>
          </w:p>
        </w:tc>
        <w:tc>
          <w:tcPr>
            <w:tcW w:w="667" w:type="pct"/>
            <w:vAlign w:val="center"/>
          </w:tcPr>
          <w:p>
            <w:pPr>
              <w:jc w:val="center"/>
              <w:rPr>
                <w:rFonts w:ascii="宋体" w:hAnsi="宋体"/>
                <w:sz w:val="18"/>
                <w:szCs w:val="18"/>
              </w:rPr>
            </w:pPr>
            <w:r>
              <w:rPr>
                <w:rFonts w:hint="eastAsia" w:ascii="宋体" w:hAnsi="宋体"/>
                <w:sz w:val="18"/>
                <w:szCs w:val="18"/>
              </w:rPr>
              <w:t>喷雾</w:t>
            </w:r>
          </w:p>
        </w:tc>
        <w:tc>
          <w:tcPr>
            <w:tcW w:w="944" w:type="pct"/>
            <w:vAlign w:val="center"/>
          </w:tcPr>
          <w:p>
            <w:pPr>
              <w:jc w:val="center"/>
              <w:rPr>
                <w:rFonts w:ascii="宋体" w:hAnsi="宋体"/>
                <w:sz w:val="18"/>
                <w:szCs w:val="18"/>
              </w:rPr>
            </w:pPr>
            <w:r>
              <w:rPr>
                <w:rFonts w:hint="eastAsia" w:ascii="宋体" w:hAnsi="宋体"/>
                <w:sz w:val="18"/>
                <w:szCs w:val="18"/>
              </w:rPr>
              <w:t>叶部7 d～10 d喷施一次，连喷2～3次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restart"/>
            <w:vAlign w:val="center"/>
          </w:tcPr>
          <w:p>
            <w:pPr>
              <w:jc w:val="center"/>
              <w:rPr>
                <w:rFonts w:ascii="宋体" w:hAnsi="宋体"/>
                <w:sz w:val="18"/>
                <w:szCs w:val="18"/>
              </w:rPr>
            </w:pPr>
            <w:r>
              <w:rPr>
                <w:rFonts w:hint="eastAsia" w:ascii="宋体" w:hAnsi="宋体"/>
                <w:sz w:val="18"/>
                <w:szCs w:val="18"/>
              </w:rPr>
              <w:t>白绢病</w:t>
            </w:r>
          </w:p>
        </w:tc>
        <w:tc>
          <w:tcPr>
            <w:tcW w:w="888" w:type="pct"/>
            <w:vAlign w:val="center"/>
          </w:tcPr>
          <w:p>
            <w:pPr>
              <w:jc w:val="center"/>
              <w:rPr>
                <w:rFonts w:ascii="宋体" w:hAnsi="宋体"/>
                <w:sz w:val="18"/>
                <w:szCs w:val="18"/>
              </w:rPr>
            </w:pPr>
            <w:r>
              <w:rPr>
                <w:rFonts w:hint="eastAsia" w:ascii="宋体" w:hAnsi="宋体"/>
                <w:sz w:val="18"/>
                <w:szCs w:val="18"/>
              </w:rPr>
              <w:t>噻呋酰胺</w:t>
            </w:r>
          </w:p>
        </w:tc>
        <w:tc>
          <w:tcPr>
            <w:tcW w:w="1481" w:type="pct"/>
            <w:vAlign w:val="center"/>
          </w:tcPr>
          <w:p>
            <w:pPr>
              <w:jc w:val="center"/>
              <w:rPr>
                <w:rFonts w:ascii="宋体" w:hAnsi="宋体"/>
                <w:sz w:val="18"/>
                <w:szCs w:val="18"/>
              </w:rPr>
            </w:pPr>
            <w:r>
              <w:rPr>
                <w:rFonts w:hint="eastAsia" w:ascii="宋体" w:hAnsi="宋体"/>
                <w:sz w:val="18"/>
                <w:szCs w:val="18"/>
              </w:rPr>
              <w:t>每667 m</w:t>
            </w:r>
            <w:r>
              <w:rPr>
                <w:rFonts w:hint="eastAsia" w:ascii="宋体" w:hAnsi="宋体"/>
                <w:sz w:val="18"/>
                <w:szCs w:val="18"/>
                <w:vertAlign w:val="superscript"/>
              </w:rPr>
              <w:t>2</w:t>
            </w:r>
            <w:r>
              <w:rPr>
                <w:rFonts w:hint="eastAsia" w:ascii="宋体" w:hAnsi="宋体"/>
                <w:sz w:val="18"/>
                <w:szCs w:val="18"/>
              </w:rPr>
              <w:t xml:space="preserve">使用24％噻呋酰胺悬浮剂40 </w:t>
            </w:r>
            <w:r>
              <w:rPr>
                <w:rFonts w:ascii="宋体" w:hAnsi="宋体"/>
                <w:sz w:val="18"/>
                <w:szCs w:val="18"/>
              </w:rPr>
              <w:t>ml</w:t>
            </w:r>
            <w:r>
              <w:rPr>
                <w:rFonts w:hint="eastAsia" w:ascii="宋体" w:hAnsi="宋体"/>
                <w:sz w:val="18"/>
                <w:szCs w:val="18"/>
              </w:rPr>
              <w:t>～</w:t>
            </w:r>
            <w:r>
              <w:rPr>
                <w:rFonts w:ascii="宋体" w:hAnsi="宋体"/>
                <w:sz w:val="18"/>
                <w:szCs w:val="18"/>
              </w:rPr>
              <w:t>60</w:t>
            </w:r>
            <w:r>
              <w:rPr>
                <w:rFonts w:hint="eastAsia" w:ascii="宋体" w:hAnsi="宋体"/>
                <w:sz w:val="18"/>
                <w:szCs w:val="18"/>
              </w:rPr>
              <w:t xml:space="preserve"> </w:t>
            </w:r>
            <w:r>
              <w:rPr>
                <w:rFonts w:ascii="宋体" w:hAnsi="宋体"/>
                <w:sz w:val="18"/>
                <w:szCs w:val="18"/>
              </w:rPr>
              <w:t>ml</w:t>
            </w:r>
          </w:p>
        </w:tc>
        <w:tc>
          <w:tcPr>
            <w:tcW w:w="667" w:type="pct"/>
            <w:vAlign w:val="center"/>
          </w:tcPr>
          <w:p>
            <w:pPr>
              <w:jc w:val="center"/>
              <w:rPr>
                <w:rFonts w:ascii="宋体" w:hAnsi="宋体"/>
                <w:sz w:val="18"/>
                <w:szCs w:val="18"/>
              </w:rPr>
            </w:pPr>
            <w:r>
              <w:rPr>
                <w:rFonts w:hint="eastAsia" w:ascii="宋体" w:hAnsi="宋体"/>
                <w:sz w:val="18"/>
                <w:szCs w:val="18"/>
              </w:rPr>
              <w:t>喷雾</w:t>
            </w:r>
          </w:p>
        </w:tc>
        <w:tc>
          <w:tcPr>
            <w:tcW w:w="944" w:type="pct"/>
            <w:vAlign w:val="center"/>
          </w:tcPr>
          <w:p>
            <w:pPr>
              <w:jc w:val="center"/>
              <w:rPr>
                <w:rFonts w:ascii="宋体" w:hAnsi="宋体"/>
                <w:sz w:val="18"/>
                <w:szCs w:val="18"/>
              </w:rPr>
            </w:pPr>
            <w:r>
              <w:rPr>
                <w:rFonts w:hint="eastAsia" w:ascii="宋体" w:hAnsi="宋体"/>
                <w:sz w:val="18"/>
                <w:szCs w:val="18"/>
              </w:rPr>
              <w:t>根部喷施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continue"/>
            <w:vAlign w:val="center"/>
          </w:tcPr>
          <w:p>
            <w:pPr>
              <w:jc w:val="center"/>
              <w:rPr>
                <w:rFonts w:ascii="宋体" w:hAnsi="宋体"/>
                <w:sz w:val="18"/>
                <w:szCs w:val="18"/>
              </w:rPr>
            </w:pPr>
          </w:p>
        </w:tc>
        <w:tc>
          <w:tcPr>
            <w:tcW w:w="888" w:type="pct"/>
            <w:vAlign w:val="center"/>
          </w:tcPr>
          <w:p>
            <w:pPr>
              <w:jc w:val="center"/>
              <w:rPr>
                <w:rFonts w:ascii="宋体" w:hAnsi="宋体"/>
                <w:sz w:val="18"/>
                <w:szCs w:val="18"/>
              </w:rPr>
            </w:pPr>
            <w:r>
              <w:rPr>
                <w:rFonts w:hint="eastAsia" w:ascii="宋体" w:hAnsi="宋体"/>
                <w:sz w:val="18"/>
                <w:szCs w:val="18"/>
              </w:rPr>
              <w:t>吡唑醚菌酯</w:t>
            </w:r>
          </w:p>
        </w:tc>
        <w:tc>
          <w:tcPr>
            <w:tcW w:w="1481" w:type="pct"/>
            <w:vAlign w:val="center"/>
          </w:tcPr>
          <w:p>
            <w:pPr>
              <w:jc w:val="center"/>
              <w:rPr>
                <w:rFonts w:ascii="宋体" w:hAnsi="宋体"/>
                <w:sz w:val="18"/>
                <w:szCs w:val="18"/>
              </w:rPr>
            </w:pPr>
            <w:r>
              <w:rPr>
                <w:rFonts w:hint="eastAsia" w:ascii="宋体" w:hAnsi="宋体"/>
                <w:sz w:val="18"/>
                <w:szCs w:val="18"/>
              </w:rPr>
              <w:t>25%吡唑醚菌酯800倍液，</w:t>
            </w:r>
          </w:p>
        </w:tc>
        <w:tc>
          <w:tcPr>
            <w:tcW w:w="667" w:type="pct"/>
            <w:vAlign w:val="center"/>
          </w:tcPr>
          <w:p>
            <w:pPr>
              <w:jc w:val="center"/>
              <w:rPr>
                <w:rFonts w:ascii="宋体" w:hAnsi="宋体"/>
                <w:sz w:val="18"/>
                <w:szCs w:val="18"/>
              </w:rPr>
            </w:pPr>
            <w:r>
              <w:rPr>
                <w:rFonts w:hint="eastAsia" w:ascii="宋体" w:hAnsi="宋体"/>
                <w:sz w:val="18"/>
                <w:szCs w:val="18"/>
              </w:rPr>
              <w:t>喷雾</w:t>
            </w:r>
          </w:p>
        </w:tc>
        <w:tc>
          <w:tcPr>
            <w:tcW w:w="944" w:type="pct"/>
            <w:vAlign w:val="center"/>
          </w:tcPr>
          <w:p>
            <w:pPr>
              <w:jc w:val="center"/>
              <w:rPr>
                <w:rFonts w:ascii="宋体" w:hAnsi="宋体"/>
                <w:sz w:val="18"/>
                <w:szCs w:val="18"/>
              </w:rPr>
            </w:pPr>
            <w:r>
              <w:rPr>
                <w:rFonts w:hint="eastAsia" w:ascii="宋体" w:hAnsi="宋体"/>
                <w:sz w:val="18"/>
                <w:szCs w:val="18"/>
              </w:rPr>
              <w:t>根部喷施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restart"/>
            <w:vAlign w:val="center"/>
          </w:tcPr>
          <w:p>
            <w:pPr>
              <w:jc w:val="center"/>
              <w:rPr>
                <w:rFonts w:ascii="宋体" w:hAnsi="宋体"/>
                <w:sz w:val="18"/>
                <w:szCs w:val="18"/>
              </w:rPr>
            </w:pPr>
            <w:r>
              <w:rPr>
                <w:rFonts w:hint="eastAsia" w:ascii="宋体" w:hAnsi="宋体"/>
                <w:sz w:val="18"/>
                <w:szCs w:val="18"/>
              </w:rPr>
              <w:t>根腐病、茎腐病</w:t>
            </w:r>
          </w:p>
        </w:tc>
        <w:tc>
          <w:tcPr>
            <w:tcW w:w="888" w:type="pct"/>
            <w:vAlign w:val="center"/>
          </w:tcPr>
          <w:p>
            <w:pPr>
              <w:jc w:val="center"/>
              <w:rPr>
                <w:rFonts w:ascii="宋体" w:hAnsi="宋体"/>
                <w:sz w:val="18"/>
                <w:szCs w:val="18"/>
              </w:rPr>
            </w:pPr>
            <w:r>
              <w:rPr>
                <w:rFonts w:hint="eastAsia" w:ascii="宋体" w:hAnsi="宋体"/>
                <w:sz w:val="18"/>
                <w:szCs w:val="18"/>
              </w:rPr>
              <w:t>咯菌腈</w:t>
            </w:r>
          </w:p>
        </w:tc>
        <w:tc>
          <w:tcPr>
            <w:tcW w:w="1481" w:type="pct"/>
            <w:vAlign w:val="center"/>
          </w:tcPr>
          <w:p>
            <w:pPr>
              <w:jc w:val="center"/>
              <w:rPr>
                <w:rFonts w:ascii="宋体" w:hAnsi="宋体"/>
                <w:sz w:val="18"/>
                <w:szCs w:val="18"/>
              </w:rPr>
            </w:pPr>
            <w:r>
              <w:rPr>
                <w:rFonts w:hint="eastAsia" w:ascii="宋体" w:hAnsi="宋体"/>
                <w:sz w:val="18"/>
                <w:szCs w:val="18"/>
              </w:rPr>
              <w:t>每 kg种子用2.5％咯菌腈种衣剂成药2 g</w:t>
            </w:r>
          </w:p>
        </w:tc>
        <w:tc>
          <w:tcPr>
            <w:tcW w:w="667" w:type="pct"/>
            <w:vMerge w:val="restart"/>
            <w:vAlign w:val="center"/>
          </w:tcPr>
          <w:p>
            <w:pPr>
              <w:jc w:val="center"/>
              <w:rPr>
                <w:rFonts w:ascii="宋体" w:hAnsi="宋体"/>
                <w:sz w:val="18"/>
                <w:szCs w:val="18"/>
              </w:rPr>
            </w:pPr>
            <w:r>
              <w:rPr>
                <w:rFonts w:hint="eastAsia" w:ascii="宋体" w:hAnsi="宋体"/>
                <w:sz w:val="18"/>
                <w:szCs w:val="18"/>
              </w:rPr>
              <w:t>拌种</w:t>
            </w:r>
          </w:p>
        </w:tc>
        <w:tc>
          <w:tcPr>
            <w:tcW w:w="944" w:type="pct"/>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continue"/>
            <w:vAlign w:val="center"/>
          </w:tcPr>
          <w:p>
            <w:pPr>
              <w:jc w:val="center"/>
              <w:rPr>
                <w:rFonts w:ascii="宋体" w:hAnsi="宋体"/>
                <w:sz w:val="18"/>
                <w:szCs w:val="18"/>
              </w:rPr>
            </w:pPr>
          </w:p>
        </w:tc>
        <w:tc>
          <w:tcPr>
            <w:tcW w:w="888" w:type="pct"/>
            <w:vAlign w:val="center"/>
          </w:tcPr>
          <w:p>
            <w:pPr>
              <w:jc w:val="center"/>
              <w:rPr>
                <w:rFonts w:ascii="宋体" w:hAnsi="宋体"/>
                <w:sz w:val="18"/>
                <w:szCs w:val="18"/>
              </w:rPr>
            </w:pPr>
            <w:r>
              <w:rPr>
                <w:rFonts w:hint="eastAsia" w:ascii="宋体" w:hAnsi="宋体"/>
                <w:sz w:val="18"/>
                <w:szCs w:val="18"/>
              </w:rPr>
              <w:t>苯醚甲环唑</w:t>
            </w:r>
          </w:p>
        </w:tc>
        <w:tc>
          <w:tcPr>
            <w:tcW w:w="1481" w:type="pct"/>
            <w:vAlign w:val="center"/>
          </w:tcPr>
          <w:p>
            <w:pPr>
              <w:jc w:val="center"/>
              <w:rPr>
                <w:rFonts w:ascii="宋体" w:hAnsi="宋体"/>
                <w:sz w:val="18"/>
                <w:szCs w:val="18"/>
              </w:rPr>
            </w:pPr>
            <w:r>
              <w:rPr>
                <w:rFonts w:hint="eastAsia" w:ascii="宋体" w:hAnsi="宋体"/>
                <w:sz w:val="18"/>
                <w:szCs w:val="18"/>
              </w:rPr>
              <w:t>每kg种子用3％苯醚甲环唑悬浮剂5 g</w:t>
            </w:r>
          </w:p>
        </w:tc>
        <w:tc>
          <w:tcPr>
            <w:tcW w:w="667" w:type="pct"/>
            <w:vMerge w:val="continue"/>
            <w:vAlign w:val="center"/>
          </w:tcPr>
          <w:p>
            <w:pPr>
              <w:jc w:val="center"/>
              <w:rPr>
                <w:rFonts w:ascii="宋体" w:hAnsi="宋体"/>
                <w:sz w:val="18"/>
                <w:szCs w:val="18"/>
              </w:rPr>
            </w:pPr>
          </w:p>
        </w:tc>
        <w:tc>
          <w:tcPr>
            <w:tcW w:w="944" w:type="pct"/>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trPr>
        <w:tc>
          <w:tcPr>
            <w:tcW w:w="413" w:type="pct"/>
            <w:vMerge w:val="continue"/>
            <w:vAlign w:val="center"/>
          </w:tcPr>
          <w:p>
            <w:pPr>
              <w:jc w:val="center"/>
              <w:rPr>
                <w:rFonts w:ascii="宋体" w:hAnsi="宋体"/>
                <w:sz w:val="18"/>
                <w:szCs w:val="18"/>
              </w:rPr>
            </w:pPr>
          </w:p>
        </w:tc>
        <w:tc>
          <w:tcPr>
            <w:tcW w:w="607" w:type="pct"/>
            <w:vMerge w:val="continue"/>
            <w:vAlign w:val="center"/>
          </w:tcPr>
          <w:p>
            <w:pPr>
              <w:jc w:val="center"/>
              <w:rPr>
                <w:rFonts w:ascii="宋体" w:hAnsi="宋体"/>
                <w:sz w:val="18"/>
                <w:szCs w:val="18"/>
              </w:rPr>
            </w:pPr>
          </w:p>
        </w:tc>
        <w:tc>
          <w:tcPr>
            <w:tcW w:w="888" w:type="pct"/>
            <w:vAlign w:val="center"/>
          </w:tcPr>
          <w:p>
            <w:pPr>
              <w:jc w:val="center"/>
              <w:rPr>
                <w:rFonts w:ascii="宋体" w:hAnsi="宋体"/>
                <w:sz w:val="18"/>
                <w:szCs w:val="18"/>
              </w:rPr>
            </w:pPr>
            <w:r>
              <w:rPr>
                <w:rFonts w:hint="eastAsia" w:ascii="宋体" w:hAnsi="宋体"/>
                <w:sz w:val="18"/>
                <w:szCs w:val="18"/>
              </w:rPr>
              <w:t>苯醚甲环唑</w:t>
            </w:r>
          </w:p>
        </w:tc>
        <w:tc>
          <w:tcPr>
            <w:tcW w:w="1481" w:type="pct"/>
            <w:vAlign w:val="center"/>
          </w:tcPr>
          <w:p>
            <w:pPr>
              <w:jc w:val="center"/>
              <w:rPr>
                <w:rFonts w:ascii="宋体" w:hAnsi="宋体"/>
                <w:sz w:val="18"/>
                <w:szCs w:val="18"/>
              </w:rPr>
            </w:pPr>
            <w:r>
              <w:rPr>
                <w:rFonts w:hint="eastAsia" w:ascii="宋体" w:hAnsi="宋体"/>
                <w:sz w:val="18"/>
                <w:szCs w:val="18"/>
              </w:rPr>
              <w:t>10%苯醚甲环唑3000倍液</w:t>
            </w:r>
          </w:p>
        </w:tc>
        <w:tc>
          <w:tcPr>
            <w:tcW w:w="667" w:type="pct"/>
            <w:vAlign w:val="center"/>
          </w:tcPr>
          <w:p>
            <w:pPr>
              <w:jc w:val="center"/>
              <w:rPr>
                <w:rFonts w:ascii="宋体" w:hAnsi="宋体"/>
                <w:sz w:val="18"/>
                <w:szCs w:val="18"/>
              </w:rPr>
            </w:pPr>
            <w:r>
              <w:rPr>
                <w:rFonts w:hint="eastAsia" w:ascii="宋体" w:hAnsi="宋体"/>
                <w:sz w:val="18"/>
                <w:szCs w:val="18"/>
              </w:rPr>
              <w:t>喷雾</w:t>
            </w:r>
          </w:p>
        </w:tc>
        <w:tc>
          <w:tcPr>
            <w:tcW w:w="944" w:type="pct"/>
            <w:vAlign w:val="center"/>
          </w:tcPr>
          <w:p>
            <w:pPr>
              <w:jc w:val="center"/>
              <w:rPr>
                <w:rFonts w:ascii="宋体" w:hAnsi="宋体"/>
                <w:sz w:val="18"/>
                <w:szCs w:val="18"/>
              </w:rPr>
            </w:pPr>
            <w:r>
              <w:rPr>
                <w:rFonts w:hint="eastAsia" w:ascii="宋体" w:hAnsi="宋体"/>
                <w:sz w:val="18"/>
                <w:szCs w:val="18"/>
              </w:rPr>
              <w:t>根部喷施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restart"/>
            <w:vAlign w:val="center"/>
          </w:tcPr>
          <w:p>
            <w:pPr>
              <w:jc w:val="center"/>
              <w:rPr>
                <w:rFonts w:ascii="宋体" w:hAnsi="宋体"/>
                <w:sz w:val="18"/>
                <w:szCs w:val="18"/>
              </w:rPr>
            </w:pPr>
            <w:r>
              <w:rPr>
                <w:rFonts w:hint="eastAsia" w:ascii="宋体" w:hAnsi="宋体"/>
                <w:sz w:val="18"/>
                <w:szCs w:val="18"/>
              </w:rPr>
              <w:t>虫害</w:t>
            </w:r>
          </w:p>
        </w:tc>
        <w:tc>
          <w:tcPr>
            <w:tcW w:w="607" w:type="pct"/>
            <w:vMerge w:val="restart"/>
            <w:vAlign w:val="center"/>
          </w:tcPr>
          <w:p>
            <w:pPr>
              <w:jc w:val="center"/>
              <w:rPr>
                <w:rFonts w:ascii="宋体" w:hAnsi="宋体"/>
                <w:sz w:val="18"/>
                <w:szCs w:val="18"/>
              </w:rPr>
            </w:pPr>
            <w:r>
              <w:rPr>
                <w:rFonts w:hint="eastAsia" w:ascii="宋体" w:hAnsi="宋体"/>
                <w:sz w:val="18"/>
                <w:szCs w:val="18"/>
              </w:rPr>
              <w:t>蚜虫、菜粉蝶、甜菜夜蛾</w:t>
            </w:r>
          </w:p>
        </w:tc>
        <w:tc>
          <w:tcPr>
            <w:tcW w:w="888" w:type="pct"/>
            <w:vAlign w:val="center"/>
          </w:tcPr>
          <w:p>
            <w:pPr>
              <w:jc w:val="center"/>
              <w:rPr>
                <w:rFonts w:ascii="宋体" w:hAnsi="宋体"/>
                <w:sz w:val="18"/>
                <w:szCs w:val="18"/>
              </w:rPr>
            </w:pPr>
            <w:r>
              <w:rPr>
                <w:rFonts w:hint="eastAsia" w:ascii="宋体" w:hAnsi="宋体"/>
                <w:sz w:val="18"/>
                <w:szCs w:val="18"/>
              </w:rPr>
              <w:t>吡虫啉、毒死蜱、甲维盐</w:t>
            </w:r>
          </w:p>
        </w:tc>
        <w:tc>
          <w:tcPr>
            <w:tcW w:w="1481" w:type="pct"/>
            <w:vAlign w:val="center"/>
          </w:tcPr>
          <w:p>
            <w:pPr>
              <w:jc w:val="center"/>
              <w:rPr>
                <w:rFonts w:ascii="宋体" w:hAnsi="宋体"/>
                <w:sz w:val="18"/>
                <w:szCs w:val="18"/>
              </w:rPr>
            </w:pPr>
            <w:r>
              <w:rPr>
                <w:rFonts w:hint="eastAsia" w:ascii="宋体" w:hAnsi="宋体"/>
                <w:sz w:val="18"/>
                <w:szCs w:val="18"/>
              </w:rPr>
              <w:t>800～1000倍液</w:t>
            </w:r>
          </w:p>
        </w:tc>
        <w:tc>
          <w:tcPr>
            <w:tcW w:w="667" w:type="pct"/>
            <w:vAlign w:val="center"/>
          </w:tcPr>
          <w:p>
            <w:pPr>
              <w:jc w:val="center"/>
              <w:rPr>
                <w:rFonts w:ascii="宋体" w:hAnsi="宋体"/>
                <w:sz w:val="18"/>
                <w:szCs w:val="18"/>
              </w:rPr>
            </w:pPr>
            <w:r>
              <w:rPr>
                <w:rFonts w:hint="eastAsia" w:ascii="宋体" w:hAnsi="宋体"/>
                <w:sz w:val="18"/>
                <w:szCs w:val="18"/>
              </w:rPr>
              <w:t>喷雾</w:t>
            </w:r>
          </w:p>
        </w:tc>
        <w:tc>
          <w:tcPr>
            <w:tcW w:w="944" w:type="pct"/>
            <w:vAlign w:val="center"/>
          </w:tcPr>
          <w:p>
            <w:pPr>
              <w:jc w:val="center"/>
              <w:rPr>
                <w:rFonts w:ascii="宋体" w:hAnsi="宋体"/>
                <w:sz w:val="18"/>
                <w:szCs w:val="18"/>
              </w:rPr>
            </w:pPr>
            <w:r>
              <w:rPr>
                <w:rFonts w:hint="eastAsia" w:ascii="宋体" w:hAnsi="宋体"/>
                <w:sz w:val="18"/>
                <w:szCs w:val="18"/>
              </w:rPr>
              <w:t>叶部喷施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continue"/>
            <w:vAlign w:val="center"/>
          </w:tcPr>
          <w:p>
            <w:pPr>
              <w:jc w:val="center"/>
              <w:rPr>
                <w:rFonts w:ascii="宋体" w:hAnsi="宋体"/>
                <w:sz w:val="18"/>
                <w:szCs w:val="18"/>
              </w:rPr>
            </w:pPr>
          </w:p>
        </w:tc>
        <w:tc>
          <w:tcPr>
            <w:tcW w:w="888" w:type="pct"/>
            <w:vAlign w:val="center"/>
          </w:tcPr>
          <w:p>
            <w:pPr>
              <w:jc w:val="center"/>
              <w:rPr>
                <w:rFonts w:ascii="宋体" w:hAnsi="宋体"/>
                <w:sz w:val="18"/>
                <w:szCs w:val="18"/>
              </w:rPr>
            </w:pPr>
            <w:r>
              <w:rPr>
                <w:rFonts w:hint="eastAsia" w:ascii="宋体" w:hAnsi="宋体"/>
                <w:sz w:val="18"/>
                <w:szCs w:val="18"/>
              </w:rPr>
              <w:t>虫螨腈+虱螨脲</w:t>
            </w:r>
          </w:p>
        </w:tc>
        <w:tc>
          <w:tcPr>
            <w:tcW w:w="1481" w:type="pct"/>
            <w:vAlign w:val="center"/>
          </w:tcPr>
          <w:p>
            <w:pPr>
              <w:jc w:val="center"/>
              <w:rPr>
                <w:rFonts w:ascii="宋体" w:hAnsi="宋体"/>
                <w:sz w:val="18"/>
                <w:szCs w:val="18"/>
              </w:rPr>
            </w:pPr>
            <w:r>
              <w:rPr>
                <w:rFonts w:hint="eastAsia" w:ascii="宋体" w:hAnsi="宋体"/>
                <w:sz w:val="18"/>
                <w:szCs w:val="18"/>
              </w:rPr>
              <w:t>1000～2000倍液</w:t>
            </w:r>
          </w:p>
        </w:tc>
        <w:tc>
          <w:tcPr>
            <w:tcW w:w="667" w:type="pct"/>
            <w:vAlign w:val="center"/>
          </w:tcPr>
          <w:p>
            <w:pPr>
              <w:jc w:val="center"/>
              <w:rPr>
                <w:rFonts w:ascii="宋体" w:hAnsi="宋体"/>
                <w:sz w:val="18"/>
                <w:szCs w:val="18"/>
              </w:rPr>
            </w:pPr>
            <w:r>
              <w:rPr>
                <w:rFonts w:hint="eastAsia" w:ascii="宋体" w:hAnsi="宋体"/>
                <w:sz w:val="18"/>
                <w:szCs w:val="18"/>
              </w:rPr>
              <w:t>喷雾</w:t>
            </w:r>
          </w:p>
        </w:tc>
        <w:tc>
          <w:tcPr>
            <w:tcW w:w="944" w:type="pct"/>
            <w:vAlign w:val="center"/>
          </w:tcPr>
          <w:p>
            <w:pPr>
              <w:jc w:val="center"/>
              <w:rPr>
                <w:rFonts w:ascii="宋体" w:hAnsi="宋体"/>
                <w:sz w:val="18"/>
                <w:szCs w:val="18"/>
              </w:rPr>
            </w:pPr>
            <w:r>
              <w:rPr>
                <w:rFonts w:hint="eastAsia" w:ascii="宋体" w:hAnsi="宋体"/>
                <w:sz w:val="18"/>
                <w:szCs w:val="18"/>
              </w:rPr>
              <w:t>叶部喷施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restart"/>
            <w:vAlign w:val="center"/>
          </w:tcPr>
          <w:p>
            <w:pPr>
              <w:jc w:val="center"/>
              <w:rPr>
                <w:rFonts w:ascii="宋体" w:hAnsi="宋体"/>
                <w:sz w:val="18"/>
                <w:szCs w:val="18"/>
              </w:rPr>
            </w:pPr>
            <w:r>
              <w:rPr>
                <w:rFonts w:hint="eastAsia" w:ascii="宋体" w:hAnsi="宋体"/>
                <w:sz w:val="18"/>
                <w:szCs w:val="18"/>
              </w:rPr>
              <w:t>蛴螬、金针虫</w:t>
            </w:r>
          </w:p>
        </w:tc>
        <w:tc>
          <w:tcPr>
            <w:tcW w:w="888" w:type="pct"/>
            <w:vAlign w:val="center"/>
          </w:tcPr>
          <w:p>
            <w:pPr>
              <w:jc w:val="center"/>
              <w:rPr>
                <w:rFonts w:ascii="宋体" w:hAnsi="宋体"/>
                <w:sz w:val="18"/>
                <w:szCs w:val="18"/>
              </w:rPr>
            </w:pPr>
            <w:r>
              <w:rPr>
                <w:rFonts w:hint="eastAsia" w:ascii="宋体" w:hAnsi="宋体"/>
                <w:sz w:val="18"/>
                <w:szCs w:val="18"/>
              </w:rPr>
              <w:t>吡虫啉</w:t>
            </w:r>
          </w:p>
        </w:tc>
        <w:tc>
          <w:tcPr>
            <w:tcW w:w="1481" w:type="pct"/>
            <w:vAlign w:val="center"/>
          </w:tcPr>
          <w:p>
            <w:pPr>
              <w:jc w:val="center"/>
              <w:rPr>
                <w:rFonts w:ascii="宋体" w:hAnsi="宋体"/>
                <w:sz w:val="18"/>
                <w:szCs w:val="18"/>
              </w:rPr>
            </w:pPr>
            <w:r>
              <w:rPr>
                <w:rFonts w:hint="eastAsia" w:ascii="宋体" w:hAnsi="宋体"/>
                <w:sz w:val="18"/>
                <w:szCs w:val="18"/>
              </w:rPr>
              <w:t>每kg种子用70％吡虫啉悬浮种衣剂1.2 g～2.0 g</w:t>
            </w:r>
          </w:p>
        </w:tc>
        <w:tc>
          <w:tcPr>
            <w:tcW w:w="667" w:type="pct"/>
            <w:vAlign w:val="center"/>
          </w:tcPr>
          <w:p>
            <w:pPr>
              <w:jc w:val="center"/>
              <w:rPr>
                <w:rFonts w:ascii="宋体" w:hAnsi="宋体"/>
                <w:sz w:val="18"/>
                <w:szCs w:val="18"/>
              </w:rPr>
            </w:pPr>
            <w:r>
              <w:rPr>
                <w:rFonts w:hint="eastAsia" w:ascii="宋体" w:hAnsi="宋体"/>
                <w:sz w:val="18"/>
                <w:szCs w:val="18"/>
              </w:rPr>
              <w:t>拌种</w:t>
            </w:r>
          </w:p>
        </w:tc>
        <w:tc>
          <w:tcPr>
            <w:tcW w:w="944" w:type="pct"/>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continue"/>
            <w:vAlign w:val="center"/>
          </w:tcPr>
          <w:p>
            <w:pPr>
              <w:jc w:val="center"/>
              <w:rPr>
                <w:rFonts w:ascii="宋体" w:hAnsi="宋体"/>
                <w:sz w:val="18"/>
                <w:szCs w:val="18"/>
              </w:rPr>
            </w:pPr>
          </w:p>
        </w:tc>
        <w:tc>
          <w:tcPr>
            <w:tcW w:w="888" w:type="pct"/>
            <w:vAlign w:val="center"/>
          </w:tcPr>
          <w:p>
            <w:pPr>
              <w:jc w:val="center"/>
              <w:rPr>
                <w:rFonts w:ascii="宋体" w:hAnsi="宋体"/>
                <w:sz w:val="18"/>
                <w:szCs w:val="18"/>
              </w:rPr>
            </w:pPr>
            <w:r>
              <w:rPr>
                <w:rFonts w:hint="eastAsia" w:ascii="宋体" w:hAnsi="宋体"/>
                <w:sz w:val="18"/>
                <w:szCs w:val="18"/>
              </w:rPr>
              <w:t>辛硫磷</w:t>
            </w:r>
          </w:p>
        </w:tc>
        <w:tc>
          <w:tcPr>
            <w:tcW w:w="1481" w:type="pct"/>
            <w:vAlign w:val="center"/>
          </w:tcPr>
          <w:p>
            <w:pPr>
              <w:jc w:val="center"/>
              <w:rPr>
                <w:rFonts w:ascii="宋体" w:hAnsi="宋体"/>
                <w:sz w:val="18"/>
                <w:szCs w:val="18"/>
              </w:rPr>
            </w:pPr>
            <w:r>
              <w:rPr>
                <w:rFonts w:hint="eastAsia" w:ascii="宋体" w:hAnsi="宋体"/>
                <w:sz w:val="18"/>
                <w:szCs w:val="18"/>
              </w:rPr>
              <w:t>每667 m</w:t>
            </w:r>
            <w:r>
              <w:rPr>
                <w:rFonts w:hint="eastAsia" w:ascii="宋体" w:hAnsi="宋体"/>
                <w:sz w:val="18"/>
                <w:szCs w:val="18"/>
                <w:vertAlign w:val="superscript"/>
              </w:rPr>
              <w:t>2</w:t>
            </w:r>
            <w:r>
              <w:rPr>
                <w:rFonts w:hint="eastAsia" w:ascii="宋体" w:hAnsi="宋体"/>
                <w:sz w:val="18"/>
                <w:szCs w:val="18"/>
              </w:rPr>
              <w:t>使用％辛硫磷颗剂1.5 kg～2.0 kg</w:t>
            </w:r>
          </w:p>
        </w:tc>
        <w:tc>
          <w:tcPr>
            <w:tcW w:w="667" w:type="pct"/>
            <w:vAlign w:val="center"/>
          </w:tcPr>
          <w:p>
            <w:pPr>
              <w:jc w:val="center"/>
              <w:rPr>
                <w:rFonts w:ascii="宋体" w:hAnsi="宋体"/>
                <w:sz w:val="18"/>
                <w:szCs w:val="18"/>
              </w:rPr>
            </w:pPr>
            <w:r>
              <w:rPr>
                <w:rFonts w:hint="eastAsia" w:ascii="宋体" w:hAnsi="宋体"/>
                <w:sz w:val="18"/>
                <w:szCs w:val="18"/>
              </w:rPr>
              <w:t>土壤表层施用</w:t>
            </w:r>
          </w:p>
        </w:tc>
        <w:tc>
          <w:tcPr>
            <w:tcW w:w="944" w:type="pct"/>
            <w:vAlign w:val="center"/>
          </w:tcPr>
          <w:p>
            <w:pPr>
              <w:jc w:val="center"/>
              <w:rPr>
                <w:rFonts w:ascii="宋体" w:hAnsi="宋体"/>
                <w:sz w:val="18"/>
                <w:szCs w:val="18"/>
              </w:rPr>
            </w:pPr>
            <w:r>
              <w:rPr>
                <w:rFonts w:hint="eastAsia" w:ascii="宋体" w:hAnsi="宋体"/>
                <w:sz w:val="18"/>
                <w:szCs w:val="18"/>
              </w:rPr>
              <w:t>花生行间撒施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restart"/>
            <w:vAlign w:val="center"/>
          </w:tcPr>
          <w:p>
            <w:pPr>
              <w:jc w:val="center"/>
              <w:rPr>
                <w:rFonts w:ascii="宋体" w:hAnsi="宋体"/>
                <w:sz w:val="18"/>
                <w:szCs w:val="18"/>
              </w:rPr>
            </w:pPr>
            <w:r>
              <w:rPr>
                <w:rFonts w:hint="eastAsia" w:ascii="宋体" w:hAnsi="宋体"/>
                <w:sz w:val="18"/>
                <w:szCs w:val="18"/>
              </w:rPr>
              <w:t>草害</w:t>
            </w:r>
          </w:p>
        </w:tc>
        <w:tc>
          <w:tcPr>
            <w:tcW w:w="607" w:type="pct"/>
            <w:vMerge w:val="restart"/>
            <w:vAlign w:val="center"/>
          </w:tcPr>
          <w:p>
            <w:pPr>
              <w:rPr>
                <w:rFonts w:ascii="宋体" w:hAnsi="宋体"/>
                <w:sz w:val="18"/>
                <w:szCs w:val="18"/>
              </w:rPr>
            </w:pPr>
            <w:r>
              <w:rPr>
                <w:rFonts w:hint="eastAsia" w:ascii="宋体" w:hAnsi="宋体"/>
                <w:sz w:val="18"/>
                <w:szCs w:val="18"/>
              </w:rPr>
              <w:t>杂草</w:t>
            </w:r>
          </w:p>
        </w:tc>
        <w:tc>
          <w:tcPr>
            <w:tcW w:w="888" w:type="pct"/>
            <w:vAlign w:val="center"/>
          </w:tcPr>
          <w:p>
            <w:pPr>
              <w:jc w:val="center"/>
              <w:rPr>
                <w:rFonts w:ascii="宋体" w:hAnsi="宋体"/>
                <w:sz w:val="18"/>
                <w:szCs w:val="18"/>
              </w:rPr>
            </w:pPr>
            <w:r>
              <w:rPr>
                <w:rFonts w:hint="eastAsia" w:ascii="宋体" w:hAnsi="宋体"/>
                <w:sz w:val="18"/>
                <w:szCs w:val="18"/>
              </w:rPr>
              <w:t>乙草胺</w:t>
            </w:r>
          </w:p>
        </w:tc>
        <w:tc>
          <w:tcPr>
            <w:tcW w:w="1481" w:type="pct"/>
            <w:vAlign w:val="center"/>
          </w:tcPr>
          <w:p>
            <w:pPr>
              <w:jc w:val="center"/>
              <w:rPr>
                <w:rFonts w:ascii="宋体" w:hAnsi="宋体"/>
                <w:sz w:val="18"/>
                <w:szCs w:val="18"/>
              </w:rPr>
            </w:pPr>
            <w:r>
              <w:rPr>
                <w:rFonts w:hint="eastAsia" w:ascii="宋体" w:hAnsi="宋体"/>
                <w:sz w:val="18"/>
                <w:szCs w:val="18"/>
              </w:rPr>
              <w:t>每667 m</w:t>
            </w:r>
            <w:r>
              <w:rPr>
                <w:rFonts w:hint="eastAsia" w:ascii="宋体" w:hAnsi="宋体"/>
                <w:sz w:val="18"/>
                <w:szCs w:val="18"/>
                <w:vertAlign w:val="superscript"/>
              </w:rPr>
              <w:t>2</w:t>
            </w:r>
            <w:r>
              <w:rPr>
                <w:rFonts w:hint="eastAsia" w:ascii="宋体" w:hAnsi="宋体"/>
                <w:sz w:val="18"/>
                <w:szCs w:val="18"/>
              </w:rPr>
              <w:t>使用90％乙草胺乳油100 ml～150 ml</w:t>
            </w:r>
          </w:p>
        </w:tc>
        <w:tc>
          <w:tcPr>
            <w:tcW w:w="667" w:type="pct"/>
            <w:vMerge w:val="restart"/>
            <w:vAlign w:val="center"/>
          </w:tcPr>
          <w:p>
            <w:pPr>
              <w:jc w:val="center"/>
              <w:rPr>
                <w:rFonts w:ascii="宋体" w:hAnsi="宋体"/>
                <w:sz w:val="18"/>
                <w:szCs w:val="18"/>
              </w:rPr>
            </w:pPr>
            <w:r>
              <w:rPr>
                <w:rFonts w:hint="eastAsia" w:ascii="宋体" w:hAnsi="宋体"/>
                <w:sz w:val="18"/>
                <w:szCs w:val="18"/>
              </w:rPr>
              <w:t>喷雾</w:t>
            </w:r>
          </w:p>
        </w:tc>
        <w:tc>
          <w:tcPr>
            <w:tcW w:w="944" w:type="pct"/>
            <w:vMerge w:val="restart"/>
            <w:vAlign w:val="center"/>
          </w:tcPr>
          <w:p>
            <w:pPr>
              <w:jc w:val="center"/>
              <w:rPr>
                <w:rFonts w:ascii="宋体" w:hAnsi="宋体"/>
                <w:sz w:val="18"/>
                <w:szCs w:val="18"/>
              </w:rPr>
            </w:pPr>
            <w:r>
              <w:rPr>
                <w:rFonts w:hint="eastAsia" w:ascii="宋体" w:hAnsi="宋体"/>
                <w:sz w:val="18"/>
                <w:szCs w:val="18"/>
              </w:rPr>
              <w:t>苗前封闭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413" w:type="pct"/>
            <w:vMerge w:val="continue"/>
            <w:vAlign w:val="center"/>
          </w:tcPr>
          <w:p>
            <w:pPr>
              <w:jc w:val="center"/>
              <w:rPr>
                <w:rFonts w:ascii="宋体" w:hAnsi="宋体"/>
                <w:sz w:val="18"/>
                <w:szCs w:val="18"/>
              </w:rPr>
            </w:pPr>
          </w:p>
        </w:tc>
        <w:tc>
          <w:tcPr>
            <w:tcW w:w="607" w:type="pct"/>
            <w:vMerge w:val="continue"/>
            <w:vAlign w:val="center"/>
          </w:tcPr>
          <w:p>
            <w:pPr>
              <w:jc w:val="center"/>
              <w:rPr>
                <w:rFonts w:ascii="宋体" w:hAnsi="宋体"/>
                <w:sz w:val="18"/>
                <w:szCs w:val="18"/>
              </w:rPr>
            </w:pPr>
          </w:p>
        </w:tc>
        <w:tc>
          <w:tcPr>
            <w:tcW w:w="888" w:type="pct"/>
            <w:vAlign w:val="center"/>
          </w:tcPr>
          <w:p>
            <w:pPr>
              <w:jc w:val="center"/>
              <w:rPr>
                <w:rFonts w:ascii="宋体" w:hAnsi="宋体"/>
                <w:sz w:val="18"/>
                <w:szCs w:val="18"/>
              </w:rPr>
            </w:pPr>
            <w:r>
              <w:rPr>
                <w:rFonts w:hint="eastAsia" w:ascii="宋体" w:hAnsi="宋体"/>
                <w:sz w:val="18"/>
                <w:szCs w:val="18"/>
              </w:rPr>
              <w:t>异丙甲草胺</w:t>
            </w:r>
          </w:p>
        </w:tc>
        <w:tc>
          <w:tcPr>
            <w:tcW w:w="1481" w:type="pct"/>
            <w:vAlign w:val="center"/>
          </w:tcPr>
          <w:p>
            <w:pPr>
              <w:jc w:val="center"/>
              <w:rPr>
                <w:rFonts w:ascii="宋体" w:hAnsi="宋体"/>
                <w:sz w:val="18"/>
                <w:szCs w:val="18"/>
              </w:rPr>
            </w:pPr>
            <w:r>
              <w:rPr>
                <w:rFonts w:hint="eastAsia" w:ascii="宋体" w:hAnsi="宋体"/>
                <w:sz w:val="18"/>
                <w:szCs w:val="18"/>
              </w:rPr>
              <w:t>每667 m</w:t>
            </w:r>
            <w:r>
              <w:rPr>
                <w:rFonts w:hint="eastAsia" w:ascii="宋体" w:hAnsi="宋体"/>
                <w:sz w:val="18"/>
                <w:szCs w:val="18"/>
                <w:vertAlign w:val="superscript"/>
              </w:rPr>
              <w:t>2</w:t>
            </w:r>
            <w:r>
              <w:rPr>
                <w:rFonts w:hint="eastAsia" w:ascii="宋体" w:hAnsi="宋体"/>
                <w:sz w:val="18"/>
                <w:szCs w:val="18"/>
              </w:rPr>
              <w:t>使用72％异丙甲草胺乳油100 ml～150 ml</w:t>
            </w:r>
          </w:p>
        </w:tc>
        <w:tc>
          <w:tcPr>
            <w:tcW w:w="667" w:type="pct"/>
            <w:vMerge w:val="continue"/>
            <w:vAlign w:val="center"/>
          </w:tcPr>
          <w:p>
            <w:pPr>
              <w:jc w:val="center"/>
              <w:rPr>
                <w:rFonts w:ascii="宋体" w:hAnsi="宋体"/>
                <w:sz w:val="18"/>
                <w:szCs w:val="18"/>
              </w:rPr>
            </w:pPr>
          </w:p>
        </w:tc>
        <w:tc>
          <w:tcPr>
            <w:tcW w:w="944" w:type="pct"/>
            <w:vMerge w:val="continue"/>
            <w:vAlign w:val="center"/>
          </w:tcPr>
          <w:p>
            <w:pPr>
              <w:jc w:val="center"/>
              <w:rPr>
                <w:rFonts w:ascii="宋体" w:hAnsi="宋体"/>
                <w:sz w:val="18"/>
                <w:szCs w:val="18"/>
              </w:rPr>
            </w:pPr>
          </w:p>
        </w:tc>
      </w:tr>
    </w:tbl>
    <w:p>
      <w:pPr>
        <w:pStyle w:val="57"/>
        <w:ind w:firstLine="420"/>
      </w:pPr>
    </w:p>
    <w:p>
      <w:pPr>
        <w:pStyle w:val="199"/>
        <w:rPr>
          <w:vanish w:val="0"/>
        </w:rPr>
      </w:pPr>
    </w:p>
    <w:p>
      <w:pPr>
        <w:pStyle w:val="200"/>
        <w:rPr>
          <w:vanish w:val="0"/>
        </w:rPr>
      </w:pPr>
    </w:p>
    <w:bookmarkEnd w:id="93"/>
    <w:p>
      <w:pPr>
        <w:pStyle w:val="57"/>
        <w:ind w:firstLine="0" w:firstLineChars="0"/>
        <w:jc w:val="center"/>
      </w:pPr>
      <w:bookmarkStart w:id="95" w:name="BookMark8"/>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cstate="print"/>
                    <a:stretch>
                      <a:fillRect/>
                    </a:stretch>
                  </pic:blipFill>
                  <pic:spPr>
                    <a:xfrm>
                      <a:off x="0" y="0"/>
                      <a:ext cx="1485900" cy="317500"/>
                    </a:xfrm>
                    <a:prstGeom prst="rect">
                      <a:avLst/>
                    </a:prstGeom>
                  </pic:spPr>
                </pic:pic>
              </a:graphicData>
            </a:graphic>
          </wp:inline>
        </w:drawing>
      </w:r>
      <w:bookmarkEnd w:id="95"/>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
    <w:panose1 w:val="00000000000000000000"/>
    <w:charset w:val="86"/>
    <w:family w:val="auto"/>
    <w:pitch w:val="default"/>
    <w:sig w:usb0="00000000" w:usb1="00000000" w:usb2="00000016" w:usb3="00000000" w:csb0="0004000F" w:csb1="00000000"/>
  </w:font>
  <w:font w:name="等线 Light">
    <w:altName w:val="仿宋"/>
    <w:panose1 w:val="00000000000000000000"/>
    <w:charset w:val="86"/>
    <w:family w:val="auto"/>
    <w:pitch w:val="default"/>
    <w:sig w:usb0="00000000" w:usb1="00000000" w:usb2="00000016" w:usb3="00000000" w:csb0="0004000F"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4113/T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rPr>
        <w:lang w:val="fr-FR"/>
      </w:rPr>
      <w:t>DB 4113/T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pStyle w:val="234"/>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pStyle w:val="240"/>
      <w:lvlText w:val="%4."/>
      <w:lvlJc w:val="left"/>
      <w:pPr>
        <w:tabs>
          <w:tab w:val="left" w:pos="2678"/>
        </w:tabs>
        <w:ind w:left="2678" w:hanging="420"/>
      </w:pPr>
    </w:lvl>
    <w:lvl w:ilvl="4" w:tentative="0">
      <w:start w:val="1"/>
      <w:numFmt w:val="lowerLetter"/>
      <w:pStyle w:val="241"/>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pStyle w:val="238"/>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4111"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567" w:firstLine="0"/>
      </w:pPr>
      <w:rPr>
        <w:rFonts w:hint="eastAsia" w:ascii="黑体" w:eastAsia="黑体"/>
        <w:b w:val="0"/>
        <w:i w:val="0"/>
        <w:sz w:val="21"/>
      </w:rPr>
    </w:lvl>
    <w:lvl w:ilvl="2" w:tentative="0">
      <w:start w:val="1"/>
      <w:numFmt w:val="decimal"/>
      <w:pStyle w:val="106"/>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567"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1276"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true"/>
  <w:bordersDoNotSurroundFooter w:val="true"/>
  <w:documentProtection w:edit="forms" w:enforcement="1" w:cryptProviderType="rsaFull" w:cryptAlgorithmClass="hash" w:cryptAlgorithmType="typeAny" w:cryptAlgorithmSid="4" w:cryptSpinCount="100000" w:hash="srkqbExfscmKVTJHkFTTpS550PI=" w:salt="s9eibyvTps0lRagnZypavg=="/>
  <w:defaultTabStop w:val="420"/>
  <w:drawingGridHorizontalSpacing w:val="105"/>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2B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25A"/>
    <w:rsid w:val="000346A5"/>
    <w:rsid w:val="000359C3"/>
    <w:rsid w:val="00035A7D"/>
    <w:rsid w:val="00035DE8"/>
    <w:rsid w:val="000365ED"/>
    <w:rsid w:val="0004249A"/>
    <w:rsid w:val="00043282"/>
    <w:rsid w:val="00044286"/>
    <w:rsid w:val="00047F28"/>
    <w:rsid w:val="000503AA"/>
    <w:rsid w:val="000506A1"/>
    <w:rsid w:val="000515DD"/>
    <w:rsid w:val="0005265A"/>
    <w:rsid w:val="000539DD"/>
    <w:rsid w:val="00053BD3"/>
    <w:rsid w:val="00055071"/>
    <w:rsid w:val="000556ED"/>
    <w:rsid w:val="00055FE2"/>
    <w:rsid w:val="0005616F"/>
    <w:rsid w:val="00060C2E"/>
    <w:rsid w:val="00061033"/>
    <w:rsid w:val="000619E9"/>
    <w:rsid w:val="000622D4"/>
    <w:rsid w:val="0006357D"/>
    <w:rsid w:val="00065432"/>
    <w:rsid w:val="000674A6"/>
    <w:rsid w:val="00067F1E"/>
    <w:rsid w:val="00071CC0"/>
    <w:rsid w:val="00072380"/>
    <w:rsid w:val="00073C8C"/>
    <w:rsid w:val="00077B64"/>
    <w:rsid w:val="0008020F"/>
    <w:rsid w:val="00080A1C"/>
    <w:rsid w:val="00082317"/>
    <w:rsid w:val="00083D2C"/>
    <w:rsid w:val="00086AA1"/>
    <w:rsid w:val="00087A77"/>
    <w:rsid w:val="00090CA6"/>
    <w:rsid w:val="00091F8F"/>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ED5"/>
    <w:rsid w:val="000B6A0B"/>
    <w:rsid w:val="000C0F6C"/>
    <w:rsid w:val="000C11DB"/>
    <w:rsid w:val="000C1492"/>
    <w:rsid w:val="000C2FBD"/>
    <w:rsid w:val="000C4B1D"/>
    <w:rsid w:val="000C4B41"/>
    <w:rsid w:val="000C4D54"/>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26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1B5"/>
    <w:rsid w:val="00141114"/>
    <w:rsid w:val="00142969"/>
    <w:rsid w:val="001446C2"/>
    <w:rsid w:val="001457E7"/>
    <w:rsid w:val="00145D9D"/>
    <w:rsid w:val="00146388"/>
    <w:rsid w:val="00151888"/>
    <w:rsid w:val="001529E5"/>
    <w:rsid w:val="00153C7E"/>
    <w:rsid w:val="0015460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B8B"/>
    <w:rsid w:val="001852C9"/>
    <w:rsid w:val="0018767F"/>
    <w:rsid w:val="00190087"/>
    <w:rsid w:val="001913C4"/>
    <w:rsid w:val="0019348F"/>
    <w:rsid w:val="00193A07"/>
    <w:rsid w:val="00194C95"/>
    <w:rsid w:val="00195C34"/>
    <w:rsid w:val="00196EF5"/>
    <w:rsid w:val="001A1A53"/>
    <w:rsid w:val="001A234A"/>
    <w:rsid w:val="001A3232"/>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C4"/>
    <w:rsid w:val="001E1B6A"/>
    <w:rsid w:val="001E21CC"/>
    <w:rsid w:val="001E2484"/>
    <w:rsid w:val="001E3CC4"/>
    <w:rsid w:val="001E4882"/>
    <w:rsid w:val="001E73AB"/>
    <w:rsid w:val="001F092D"/>
    <w:rsid w:val="001F0D57"/>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1D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D6A"/>
    <w:rsid w:val="00281BB8"/>
    <w:rsid w:val="00281E9E"/>
    <w:rsid w:val="00282405"/>
    <w:rsid w:val="00285170"/>
    <w:rsid w:val="00285361"/>
    <w:rsid w:val="002910CA"/>
    <w:rsid w:val="00292D60"/>
    <w:rsid w:val="00293B30"/>
    <w:rsid w:val="00294D34"/>
    <w:rsid w:val="00294E3B"/>
    <w:rsid w:val="00296193"/>
    <w:rsid w:val="00296C66"/>
    <w:rsid w:val="00296EBE"/>
    <w:rsid w:val="0029748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0F8B"/>
    <w:rsid w:val="002C16EC"/>
    <w:rsid w:val="002C1E06"/>
    <w:rsid w:val="002C1E1C"/>
    <w:rsid w:val="002C3F07"/>
    <w:rsid w:val="002C5278"/>
    <w:rsid w:val="002C7EBB"/>
    <w:rsid w:val="002D06C1"/>
    <w:rsid w:val="002D42B5"/>
    <w:rsid w:val="002D4F1A"/>
    <w:rsid w:val="002D6EC6"/>
    <w:rsid w:val="002D79AC"/>
    <w:rsid w:val="002E039D"/>
    <w:rsid w:val="002E4103"/>
    <w:rsid w:val="002E4D5A"/>
    <w:rsid w:val="002E6326"/>
    <w:rsid w:val="002F30E0"/>
    <w:rsid w:val="002F35E4"/>
    <w:rsid w:val="002F3730"/>
    <w:rsid w:val="002F38E1"/>
    <w:rsid w:val="002F7AF6"/>
    <w:rsid w:val="00300E63"/>
    <w:rsid w:val="00302F5F"/>
    <w:rsid w:val="0030441D"/>
    <w:rsid w:val="00306063"/>
    <w:rsid w:val="00313B85"/>
    <w:rsid w:val="00317988"/>
    <w:rsid w:val="0032219E"/>
    <w:rsid w:val="003221B4"/>
    <w:rsid w:val="0032258D"/>
    <w:rsid w:val="00322E62"/>
    <w:rsid w:val="00324D13"/>
    <w:rsid w:val="00324D2A"/>
    <w:rsid w:val="00324EDD"/>
    <w:rsid w:val="0032613D"/>
    <w:rsid w:val="003309EF"/>
    <w:rsid w:val="003331E4"/>
    <w:rsid w:val="0033407D"/>
    <w:rsid w:val="00336C64"/>
    <w:rsid w:val="00337162"/>
    <w:rsid w:val="0034194F"/>
    <w:rsid w:val="00344605"/>
    <w:rsid w:val="003474AA"/>
    <w:rsid w:val="00350D1D"/>
    <w:rsid w:val="00352C83"/>
    <w:rsid w:val="003615D2"/>
    <w:rsid w:val="00363E8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D3E"/>
    <w:rsid w:val="003974EB"/>
    <w:rsid w:val="00397CC5"/>
    <w:rsid w:val="003A1582"/>
    <w:rsid w:val="003A3266"/>
    <w:rsid w:val="003A4077"/>
    <w:rsid w:val="003B09AD"/>
    <w:rsid w:val="003B1F18"/>
    <w:rsid w:val="003B5BF0"/>
    <w:rsid w:val="003B60BF"/>
    <w:rsid w:val="003B6BE3"/>
    <w:rsid w:val="003C010C"/>
    <w:rsid w:val="003C076B"/>
    <w:rsid w:val="003C0A6C"/>
    <w:rsid w:val="003C14F8"/>
    <w:rsid w:val="003C5A43"/>
    <w:rsid w:val="003C7340"/>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5ED"/>
    <w:rsid w:val="00404869"/>
    <w:rsid w:val="004057F7"/>
    <w:rsid w:val="00405884"/>
    <w:rsid w:val="00407D39"/>
    <w:rsid w:val="0041477A"/>
    <w:rsid w:val="004167A3"/>
    <w:rsid w:val="00432DAA"/>
    <w:rsid w:val="00434305"/>
    <w:rsid w:val="004345DD"/>
    <w:rsid w:val="00435DF7"/>
    <w:rsid w:val="0044083F"/>
    <w:rsid w:val="00441AE7"/>
    <w:rsid w:val="00445574"/>
    <w:rsid w:val="004467FB"/>
    <w:rsid w:val="004507DA"/>
    <w:rsid w:val="00452D6B"/>
    <w:rsid w:val="00454484"/>
    <w:rsid w:val="0045517B"/>
    <w:rsid w:val="004619BB"/>
    <w:rsid w:val="0046337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5C5"/>
    <w:rsid w:val="004B0272"/>
    <w:rsid w:val="004B2701"/>
    <w:rsid w:val="004B2E1B"/>
    <w:rsid w:val="004B3AA8"/>
    <w:rsid w:val="004B3E93"/>
    <w:rsid w:val="004B3F93"/>
    <w:rsid w:val="004C1FBC"/>
    <w:rsid w:val="004C3F1D"/>
    <w:rsid w:val="004C44E3"/>
    <w:rsid w:val="004C458D"/>
    <w:rsid w:val="004C7556"/>
    <w:rsid w:val="004C7E8B"/>
    <w:rsid w:val="004C7E9D"/>
    <w:rsid w:val="004C7F67"/>
    <w:rsid w:val="004D076D"/>
    <w:rsid w:val="004D0EF1"/>
    <w:rsid w:val="004D2253"/>
    <w:rsid w:val="004D3E9D"/>
    <w:rsid w:val="004D4406"/>
    <w:rsid w:val="004D53C6"/>
    <w:rsid w:val="004D7C42"/>
    <w:rsid w:val="004E0465"/>
    <w:rsid w:val="004E127B"/>
    <w:rsid w:val="004E1C0A"/>
    <w:rsid w:val="004E2B06"/>
    <w:rsid w:val="004E30C5"/>
    <w:rsid w:val="004E4AA5"/>
    <w:rsid w:val="004E4AEE"/>
    <w:rsid w:val="004E59E3"/>
    <w:rsid w:val="004E67C0"/>
    <w:rsid w:val="004F14C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2E5"/>
    <w:rsid w:val="00521413"/>
    <w:rsid w:val="00521859"/>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DB4"/>
    <w:rsid w:val="00561475"/>
    <w:rsid w:val="0056207A"/>
    <w:rsid w:val="0056487B"/>
    <w:rsid w:val="00564FB9"/>
    <w:rsid w:val="00571DC2"/>
    <w:rsid w:val="00572F7A"/>
    <w:rsid w:val="00573D9E"/>
    <w:rsid w:val="005801E3"/>
    <w:rsid w:val="00581802"/>
    <w:rsid w:val="005836A8"/>
    <w:rsid w:val="0058409C"/>
    <w:rsid w:val="00584262"/>
    <w:rsid w:val="00586630"/>
    <w:rsid w:val="00587ADD"/>
    <w:rsid w:val="00590604"/>
    <w:rsid w:val="00591E27"/>
    <w:rsid w:val="00591F08"/>
    <w:rsid w:val="00596160"/>
    <w:rsid w:val="005966E2"/>
    <w:rsid w:val="00597007"/>
    <w:rsid w:val="005A0966"/>
    <w:rsid w:val="005A11B7"/>
    <w:rsid w:val="005A260B"/>
    <w:rsid w:val="005A4061"/>
    <w:rsid w:val="005A4A1B"/>
    <w:rsid w:val="005A7830"/>
    <w:rsid w:val="005A7FCE"/>
    <w:rsid w:val="005B0F3F"/>
    <w:rsid w:val="005B1885"/>
    <w:rsid w:val="005B4903"/>
    <w:rsid w:val="005B51CE"/>
    <w:rsid w:val="005B5885"/>
    <w:rsid w:val="005B5CD7"/>
    <w:rsid w:val="005B6CF6"/>
    <w:rsid w:val="005B7422"/>
    <w:rsid w:val="005C29B8"/>
    <w:rsid w:val="005C5F21"/>
    <w:rsid w:val="005C7156"/>
    <w:rsid w:val="005D09E9"/>
    <w:rsid w:val="005D0C75"/>
    <w:rsid w:val="005D4171"/>
    <w:rsid w:val="005D6A95"/>
    <w:rsid w:val="005D6B2C"/>
    <w:rsid w:val="005D6D9C"/>
    <w:rsid w:val="005E1088"/>
    <w:rsid w:val="005E2335"/>
    <w:rsid w:val="005E34CA"/>
    <w:rsid w:val="005E3C18"/>
    <w:rsid w:val="005E6812"/>
    <w:rsid w:val="005E76CA"/>
    <w:rsid w:val="005E7881"/>
    <w:rsid w:val="005E78E0"/>
    <w:rsid w:val="005F0D9C"/>
    <w:rsid w:val="005F284E"/>
    <w:rsid w:val="005F4712"/>
    <w:rsid w:val="006007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CBB"/>
    <w:rsid w:val="00634D9E"/>
    <w:rsid w:val="00636E3E"/>
    <w:rsid w:val="006379F7"/>
    <w:rsid w:val="00637E4D"/>
    <w:rsid w:val="00640620"/>
    <w:rsid w:val="00641A1F"/>
    <w:rsid w:val="00645904"/>
    <w:rsid w:val="00651ACB"/>
    <w:rsid w:val="00651C47"/>
    <w:rsid w:val="00652AB2"/>
    <w:rsid w:val="00653FED"/>
    <w:rsid w:val="0065437F"/>
    <w:rsid w:val="00654EC0"/>
    <w:rsid w:val="0065525B"/>
    <w:rsid w:val="00655D4F"/>
    <w:rsid w:val="00656D29"/>
    <w:rsid w:val="006640E5"/>
    <w:rsid w:val="006646F1"/>
    <w:rsid w:val="00664929"/>
    <w:rsid w:val="00664F62"/>
    <w:rsid w:val="006655E1"/>
    <w:rsid w:val="006718C6"/>
    <w:rsid w:val="00672060"/>
    <w:rsid w:val="00672BFD"/>
    <w:rsid w:val="006770F4"/>
    <w:rsid w:val="00677A84"/>
    <w:rsid w:val="0068026D"/>
    <w:rsid w:val="00680A27"/>
    <w:rsid w:val="006816A4"/>
    <w:rsid w:val="006819B8"/>
    <w:rsid w:val="006840A6"/>
    <w:rsid w:val="006850CD"/>
    <w:rsid w:val="00685AAB"/>
    <w:rsid w:val="00695D22"/>
    <w:rsid w:val="006A0594"/>
    <w:rsid w:val="006A07AA"/>
    <w:rsid w:val="006A25E5"/>
    <w:rsid w:val="006A2B46"/>
    <w:rsid w:val="006A336D"/>
    <w:rsid w:val="006A37B9"/>
    <w:rsid w:val="006A64ED"/>
    <w:rsid w:val="006A721B"/>
    <w:rsid w:val="006B2672"/>
    <w:rsid w:val="006B54BF"/>
    <w:rsid w:val="006B5F44"/>
    <w:rsid w:val="006B5F90"/>
    <w:rsid w:val="006B62E4"/>
    <w:rsid w:val="006C1BBA"/>
    <w:rsid w:val="006C2079"/>
    <w:rsid w:val="006C46C2"/>
    <w:rsid w:val="006C5A62"/>
    <w:rsid w:val="006C5D68"/>
    <w:rsid w:val="006C6976"/>
    <w:rsid w:val="006C6DD0"/>
    <w:rsid w:val="006D04EA"/>
    <w:rsid w:val="006D16C4"/>
    <w:rsid w:val="006D3E96"/>
    <w:rsid w:val="006D4515"/>
    <w:rsid w:val="006D4BB1"/>
    <w:rsid w:val="006D6593"/>
    <w:rsid w:val="006D7899"/>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A80"/>
    <w:rsid w:val="00722FBF"/>
    <w:rsid w:val="00722FC2"/>
    <w:rsid w:val="00724879"/>
    <w:rsid w:val="00724E1B"/>
    <w:rsid w:val="00725949"/>
    <w:rsid w:val="00727FA2"/>
    <w:rsid w:val="007322D9"/>
    <w:rsid w:val="00732BC0"/>
    <w:rsid w:val="00732E5D"/>
    <w:rsid w:val="0073720F"/>
    <w:rsid w:val="00737317"/>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6FBC"/>
    <w:rsid w:val="007600E3"/>
    <w:rsid w:val="007605EB"/>
    <w:rsid w:val="00765C43"/>
    <w:rsid w:val="00765EFB"/>
    <w:rsid w:val="007671CA"/>
    <w:rsid w:val="00767C61"/>
    <w:rsid w:val="0077008A"/>
    <w:rsid w:val="00772831"/>
    <w:rsid w:val="00773C1F"/>
    <w:rsid w:val="00774DA4"/>
    <w:rsid w:val="00776599"/>
    <w:rsid w:val="0078114B"/>
    <w:rsid w:val="00781DD2"/>
    <w:rsid w:val="00783ECF"/>
    <w:rsid w:val="0078413A"/>
    <w:rsid w:val="00790080"/>
    <w:rsid w:val="007959E8"/>
    <w:rsid w:val="00795E9C"/>
    <w:rsid w:val="007A0521"/>
    <w:rsid w:val="007A27D5"/>
    <w:rsid w:val="007A2E12"/>
    <w:rsid w:val="007A3475"/>
    <w:rsid w:val="007A41C8"/>
    <w:rsid w:val="007A54CE"/>
    <w:rsid w:val="007A6FD9"/>
    <w:rsid w:val="007A7FFA"/>
    <w:rsid w:val="007B04EB"/>
    <w:rsid w:val="007B0D4F"/>
    <w:rsid w:val="007B2F52"/>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B40"/>
    <w:rsid w:val="00810257"/>
    <w:rsid w:val="008104F5"/>
    <w:rsid w:val="00811072"/>
    <w:rsid w:val="00811369"/>
    <w:rsid w:val="00811437"/>
    <w:rsid w:val="00815419"/>
    <w:rsid w:val="008163C8"/>
    <w:rsid w:val="008164A1"/>
    <w:rsid w:val="00817325"/>
    <w:rsid w:val="008209E6"/>
    <w:rsid w:val="00821C14"/>
    <w:rsid w:val="00823303"/>
    <w:rsid w:val="008233B2"/>
    <w:rsid w:val="00823A9F"/>
    <w:rsid w:val="00823C85"/>
    <w:rsid w:val="00825138"/>
    <w:rsid w:val="008269DD"/>
    <w:rsid w:val="00830621"/>
    <w:rsid w:val="0083348C"/>
    <w:rsid w:val="00836A5C"/>
    <w:rsid w:val="008373D3"/>
    <w:rsid w:val="00840617"/>
    <w:rsid w:val="00840F84"/>
    <w:rsid w:val="00842A47"/>
    <w:rsid w:val="00843C13"/>
    <w:rsid w:val="008454F8"/>
    <w:rsid w:val="0084582C"/>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B68"/>
    <w:rsid w:val="0089049D"/>
    <w:rsid w:val="008928C9"/>
    <w:rsid w:val="008930CB"/>
    <w:rsid w:val="008938DC"/>
    <w:rsid w:val="00893FD1"/>
    <w:rsid w:val="00894836"/>
    <w:rsid w:val="00895172"/>
    <w:rsid w:val="00895680"/>
    <w:rsid w:val="00896DFF"/>
    <w:rsid w:val="0089762C"/>
    <w:rsid w:val="008A1893"/>
    <w:rsid w:val="008A2AD1"/>
    <w:rsid w:val="008A3215"/>
    <w:rsid w:val="008A4806"/>
    <w:rsid w:val="008A57E6"/>
    <w:rsid w:val="008A61BE"/>
    <w:rsid w:val="008A6F81"/>
    <w:rsid w:val="008A769A"/>
    <w:rsid w:val="008B0C9C"/>
    <w:rsid w:val="008B166D"/>
    <w:rsid w:val="008B17F4"/>
    <w:rsid w:val="008B3615"/>
    <w:rsid w:val="008B4AC4"/>
    <w:rsid w:val="008B50C8"/>
    <w:rsid w:val="008B5281"/>
    <w:rsid w:val="008B7E05"/>
    <w:rsid w:val="008C1797"/>
    <w:rsid w:val="008C219C"/>
    <w:rsid w:val="008C475E"/>
    <w:rsid w:val="008C50C6"/>
    <w:rsid w:val="008C619A"/>
    <w:rsid w:val="008D0CE8"/>
    <w:rsid w:val="008D2D1D"/>
    <w:rsid w:val="008D3CA1"/>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A11"/>
    <w:rsid w:val="009062E6"/>
    <w:rsid w:val="00911BE5"/>
    <w:rsid w:val="00913CA9"/>
    <w:rsid w:val="009145AE"/>
    <w:rsid w:val="009146CE"/>
    <w:rsid w:val="00914CA7"/>
    <w:rsid w:val="00915C3E"/>
    <w:rsid w:val="009161A8"/>
    <w:rsid w:val="009245F5"/>
    <w:rsid w:val="009249EC"/>
    <w:rsid w:val="009273B3"/>
    <w:rsid w:val="009305B5"/>
    <w:rsid w:val="00931CB4"/>
    <w:rsid w:val="00933BD7"/>
    <w:rsid w:val="009349D7"/>
    <w:rsid w:val="00940E22"/>
    <w:rsid w:val="009429D5"/>
    <w:rsid w:val="00942BF1"/>
    <w:rsid w:val="009447DA"/>
    <w:rsid w:val="00945180"/>
    <w:rsid w:val="00945428"/>
    <w:rsid w:val="0094607B"/>
    <w:rsid w:val="00951885"/>
    <w:rsid w:val="00951C84"/>
    <w:rsid w:val="00953604"/>
    <w:rsid w:val="0095496B"/>
    <w:rsid w:val="00960F33"/>
    <w:rsid w:val="009610DC"/>
    <w:rsid w:val="00961490"/>
    <w:rsid w:val="0096381A"/>
    <w:rsid w:val="00965E04"/>
    <w:rsid w:val="009674AD"/>
    <w:rsid w:val="00970CDC"/>
    <w:rsid w:val="00977010"/>
    <w:rsid w:val="00977D02"/>
    <w:rsid w:val="009809BB"/>
    <w:rsid w:val="0098364B"/>
    <w:rsid w:val="00987F88"/>
    <w:rsid w:val="009911AF"/>
    <w:rsid w:val="00991875"/>
    <w:rsid w:val="00991F92"/>
    <w:rsid w:val="00992985"/>
    <w:rsid w:val="00993889"/>
    <w:rsid w:val="0099551B"/>
    <w:rsid w:val="00996BF9"/>
    <w:rsid w:val="00997BF1"/>
    <w:rsid w:val="009A089C"/>
    <w:rsid w:val="009A118E"/>
    <w:rsid w:val="009A21CD"/>
    <w:rsid w:val="009A278C"/>
    <w:rsid w:val="009A2BC2"/>
    <w:rsid w:val="009A42C1"/>
    <w:rsid w:val="009A5429"/>
    <w:rsid w:val="009A6961"/>
    <w:rsid w:val="009A72AD"/>
    <w:rsid w:val="009B09E0"/>
    <w:rsid w:val="009B0BC5"/>
    <w:rsid w:val="009B1247"/>
    <w:rsid w:val="009B30A4"/>
    <w:rsid w:val="009B6029"/>
    <w:rsid w:val="009B6971"/>
    <w:rsid w:val="009C223C"/>
    <w:rsid w:val="009C27F1"/>
    <w:rsid w:val="009C3152"/>
    <w:rsid w:val="009C4CFA"/>
    <w:rsid w:val="009C5070"/>
    <w:rsid w:val="009D112C"/>
    <w:rsid w:val="009D47FA"/>
    <w:rsid w:val="009D4C5B"/>
    <w:rsid w:val="009D50D2"/>
    <w:rsid w:val="009D6BCA"/>
    <w:rsid w:val="009D6C48"/>
    <w:rsid w:val="009E0F62"/>
    <w:rsid w:val="009E4A58"/>
    <w:rsid w:val="009E5A2D"/>
    <w:rsid w:val="009E5AB2"/>
    <w:rsid w:val="009E6219"/>
    <w:rsid w:val="009E66DD"/>
    <w:rsid w:val="009F03B3"/>
    <w:rsid w:val="009F0A42"/>
    <w:rsid w:val="009F1F9B"/>
    <w:rsid w:val="00A0096C"/>
    <w:rsid w:val="00A01757"/>
    <w:rsid w:val="00A028C0"/>
    <w:rsid w:val="00A02BAE"/>
    <w:rsid w:val="00A06874"/>
    <w:rsid w:val="00A06A6B"/>
    <w:rsid w:val="00A07E47"/>
    <w:rsid w:val="00A11AA1"/>
    <w:rsid w:val="00A129D0"/>
    <w:rsid w:val="00A12C33"/>
    <w:rsid w:val="00A138BA"/>
    <w:rsid w:val="00A14C8E"/>
    <w:rsid w:val="00A153D9"/>
    <w:rsid w:val="00A15F09"/>
    <w:rsid w:val="00A169B6"/>
    <w:rsid w:val="00A2271D"/>
    <w:rsid w:val="00A237D5"/>
    <w:rsid w:val="00A245F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604"/>
    <w:rsid w:val="00A55BD6"/>
    <w:rsid w:val="00A55D50"/>
    <w:rsid w:val="00A57142"/>
    <w:rsid w:val="00A62BD3"/>
    <w:rsid w:val="00A648CD"/>
    <w:rsid w:val="00A6537A"/>
    <w:rsid w:val="00A67866"/>
    <w:rsid w:val="00A70B07"/>
    <w:rsid w:val="00A70D5E"/>
    <w:rsid w:val="00A723F8"/>
    <w:rsid w:val="00A77CCB"/>
    <w:rsid w:val="00A83D8D"/>
    <w:rsid w:val="00A8446B"/>
    <w:rsid w:val="00A8473F"/>
    <w:rsid w:val="00A862D6"/>
    <w:rsid w:val="00A8715E"/>
    <w:rsid w:val="00A9295B"/>
    <w:rsid w:val="00A93B09"/>
    <w:rsid w:val="00A9407C"/>
    <w:rsid w:val="00A94247"/>
    <w:rsid w:val="00A952D7"/>
    <w:rsid w:val="00A963F7"/>
    <w:rsid w:val="00A96AD8"/>
    <w:rsid w:val="00AA052C"/>
    <w:rsid w:val="00AA1E45"/>
    <w:rsid w:val="00AA4286"/>
    <w:rsid w:val="00AA456B"/>
    <w:rsid w:val="00AA57F5"/>
    <w:rsid w:val="00AA672E"/>
    <w:rsid w:val="00AA6EC9"/>
    <w:rsid w:val="00AA72AA"/>
    <w:rsid w:val="00AB2727"/>
    <w:rsid w:val="00AB41D5"/>
    <w:rsid w:val="00AB6027"/>
    <w:rsid w:val="00AB6309"/>
    <w:rsid w:val="00AB6C5F"/>
    <w:rsid w:val="00AB7129"/>
    <w:rsid w:val="00AC27A6"/>
    <w:rsid w:val="00AC30F7"/>
    <w:rsid w:val="00AC3A5A"/>
    <w:rsid w:val="00AC4D95"/>
    <w:rsid w:val="00AC5DF4"/>
    <w:rsid w:val="00AD0AEF"/>
    <w:rsid w:val="00AD11B7"/>
    <w:rsid w:val="00AD192F"/>
    <w:rsid w:val="00AD19DA"/>
    <w:rsid w:val="00AD1A94"/>
    <w:rsid w:val="00AD1C05"/>
    <w:rsid w:val="00AD4126"/>
    <w:rsid w:val="00AD421C"/>
    <w:rsid w:val="00AD44FA"/>
    <w:rsid w:val="00AE070A"/>
    <w:rsid w:val="00AE101C"/>
    <w:rsid w:val="00AE37E5"/>
    <w:rsid w:val="00AE5EB4"/>
    <w:rsid w:val="00AF0C18"/>
    <w:rsid w:val="00AF47C5"/>
    <w:rsid w:val="00AF5398"/>
    <w:rsid w:val="00AF67E9"/>
    <w:rsid w:val="00B02CE5"/>
    <w:rsid w:val="00B049AF"/>
    <w:rsid w:val="00B07242"/>
    <w:rsid w:val="00B10534"/>
    <w:rsid w:val="00B113DB"/>
    <w:rsid w:val="00B11D8A"/>
    <w:rsid w:val="00B12981"/>
    <w:rsid w:val="00B147DD"/>
    <w:rsid w:val="00B156FD"/>
    <w:rsid w:val="00B21F61"/>
    <w:rsid w:val="00B261F1"/>
    <w:rsid w:val="00B265BC"/>
    <w:rsid w:val="00B27E12"/>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95F"/>
    <w:rsid w:val="00B62B58"/>
    <w:rsid w:val="00B65149"/>
    <w:rsid w:val="00B66567"/>
    <w:rsid w:val="00B66F52"/>
    <w:rsid w:val="00B66FE5"/>
    <w:rsid w:val="00B72880"/>
    <w:rsid w:val="00B7415C"/>
    <w:rsid w:val="00B758BF"/>
    <w:rsid w:val="00B77EC8"/>
    <w:rsid w:val="00B827A6"/>
    <w:rsid w:val="00B831CE"/>
    <w:rsid w:val="00B86677"/>
    <w:rsid w:val="00B87131"/>
    <w:rsid w:val="00B939B1"/>
    <w:rsid w:val="00B96508"/>
    <w:rsid w:val="00B96D40"/>
    <w:rsid w:val="00B97386"/>
    <w:rsid w:val="00BA1818"/>
    <w:rsid w:val="00BA263B"/>
    <w:rsid w:val="00BA2860"/>
    <w:rsid w:val="00BA42B2"/>
    <w:rsid w:val="00BA58D4"/>
    <w:rsid w:val="00BA5B9E"/>
    <w:rsid w:val="00BA7C9A"/>
    <w:rsid w:val="00BB5F8F"/>
    <w:rsid w:val="00BB657A"/>
    <w:rsid w:val="00BC1A4E"/>
    <w:rsid w:val="00BC4A8D"/>
    <w:rsid w:val="00BC5DC7"/>
    <w:rsid w:val="00BC6B8B"/>
    <w:rsid w:val="00BC73D8"/>
    <w:rsid w:val="00BD52D7"/>
    <w:rsid w:val="00BD5AD2"/>
    <w:rsid w:val="00BE1C9A"/>
    <w:rsid w:val="00BE22F3"/>
    <w:rsid w:val="00BE5B52"/>
    <w:rsid w:val="00BE66B2"/>
    <w:rsid w:val="00BE7195"/>
    <w:rsid w:val="00BE7B8D"/>
    <w:rsid w:val="00BF0993"/>
    <w:rsid w:val="00BF10A9"/>
    <w:rsid w:val="00BF1703"/>
    <w:rsid w:val="00BF231C"/>
    <w:rsid w:val="00BF51E5"/>
    <w:rsid w:val="00BF5BDB"/>
    <w:rsid w:val="00BF74A6"/>
    <w:rsid w:val="00C013AD"/>
    <w:rsid w:val="00C04904"/>
    <w:rsid w:val="00C056B3"/>
    <w:rsid w:val="00C103E5"/>
    <w:rsid w:val="00C13319"/>
    <w:rsid w:val="00C13EE9"/>
    <w:rsid w:val="00C21540"/>
    <w:rsid w:val="00C21906"/>
    <w:rsid w:val="00C21BFA"/>
    <w:rsid w:val="00C22148"/>
    <w:rsid w:val="00C23165"/>
    <w:rsid w:val="00C24C8D"/>
    <w:rsid w:val="00C25FE2"/>
    <w:rsid w:val="00C26B53"/>
    <w:rsid w:val="00C2718C"/>
    <w:rsid w:val="00C279B2"/>
    <w:rsid w:val="00C33E50"/>
    <w:rsid w:val="00C34C20"/>
    <w:rsid w:val="00C35A3E"/>
    <w:rsid w:val="00C418E8"/>
    <w:rsid w:val="00C42130"/>
    <w:rsid w:val="00C423A4"/>
    <w:rsid w:val="00C44BF5"/>
    <w:rsid w:val="00C51180"/>
    <w:rsid w:val="00C521D6"/>
    <w:rsid w:val="00C55232"/>
    <w:rsid w:val="00C553A4"/>
    <w:rsid w:val="00C55A06"/>
    <w:rsid w:val="00C55D03"/>
    <w:rsid w:val="00C601BC"/>
    <w:rsid w:val="00C6329F"/>
    <w:rsid w:val="00C63340"/>
    <w:rsid w:val="00C643F9"/>
    <w:rsid w:val="00C64E95"/>
    <w:rsid w:val="00C71372"/>
    <w:rsid w:val="00C72410"/>
    <w:rsid w:val="00C7287F"/>
    <w:rsid w:val="00C777AC"/>
    <w:rsid w:val="00C80CB8"/>
    <w:rsid w:val="00C819F8"/>
    <w:rsid w:val="00C8248C"/>
    <w:rsid w:val="00C84E33"/>
    <w:rsid w:val="00C86D6F"/>
    <w:rsid w:val="00C905FC"/>
    <w:rsid w:val="00C92D03"/>
    <w:rsid w:val="00C9319C"/>
    <w:rsid w:val="00C9435D"/>
    <w:rsid w:val="00C94DF2"/>
    <w:rsid w:val="00C96741"/>
    <w:rsid w:val="00CA2D1B"/>
    <w:rsid w:val="00CA375D"/>
    <w:rsid w:val="00CA61C0"/>
    <w:rsid w:val="00CA662A"/>
    <w:rsid w:val="00CA7AFD"/>
    <w:rsid w:val="00CA7C3C"/>
    <w:rsid w:val="00CB0189"/>
    <w:rsid w:val="00CB0BA2"/>
    <w:rsid w:val="00CB1A42"/>
    <w:rsid w:val="00CB1B0C"/>
    <w:rsid w:val="00CB2C0B"/>
    <w:rsid w:val="00CB517D"/>
    <w:rsid w:val="00CB6FF1"/>
    <w:rsid w:val="00CC038D"/>
    <w:rsid w:val="00CC08DB"/>
    <w:rsid w:val="00CC39FF"/>
    <w:rsid w:val="00CC3C2F"/>
    <w:rsid w:val="00CC4AC8"/>
    <w:rsid w:val="00CC5233"/>
    <w:rsid w:val="00CC5DE6"/>
    <w:rsid w:val="00CC66D4"/>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ED3"/>
    <w:rsid w:val="00D05C1C"/>
    <w:rsid w:val="00D06AB1"/>
    <w:rsid w:val="00D072ED"/>
    <w:rsid w:val="00D07A16"/>
    <w:rsid w:val="00D1067E"/>
    <w:rsid w:val="00D10F50"/>
    <w:rsid w:val="00D11272"/>
    <w:rsid w:val="00D126F5"/>
    <w:rsid w:val="00D1489E"/>
    <w:rsid w:val="00D20737"/>
    <w:rsid w:val="00D21CAC"/>
    <w:rsid w:val="00D21E81"/>
    <w:rsid w:val="00D223DE"/>
    <w:rsid w:val="00D23BD2"/>
    <w:rsid w:val="00D25E37"/>
    <w:rsid w:val="00D2661A"/>
    <w:rsid w:val="00D27582"/>
    <w:rsid w:val="00D27EC4"/>
    <w:rsid w:val="00D30372"/>
    <w:rsid w:val="00D32568"/>
    <w:rsid w:val="00D32719"/>
    <w:rsid w:val="00D33333"/>
    <w:rsid w:val="00D33457"/>
    <w:rsid w:val="00D352A2"/>
    <w:rsid w:val="00D354A9"/>
    <w:rsid w:val="00D36832"/>
    <w:rsid w:val="00D4162B"/>
    <w:rsid w:val="00D440C2"/>
    <w:rsid w:val="00D4514F"/>
    <w:rsid w:val="00D451E2"/>
    <w:rsid w:val="00D45E89"/>
    <w:rsid w:val="00D45E8D"/>
    <w:rsid w:val="00D466AE"/>
    <w:rsid w:val="00D4734F"/>
    <w:rsid w:val="00D51BF3"/>
    <w:rsid w:val="00D61323"/>
    <w:rsid w:val="00D66846"/>
    <w:rsid w:val="00D675FB"/>
    <w:rsid w:val="00D71F25"/>
    <w:rsid w:val="00D72A9C"/>
    <w:rsid w:val="00D77031"/>
    <w:rsid w:val="00D84941"/>
    <w:rsid w:val="00D84FA1"/>
    <w:rsid w:val="00D851F0"/>
    <w:rsid w:val="00D86DB7"/>
    <w:rsid w:val="00D926D0"/>
    <w:rsid w:val="00D93030"/>
    <w:rsid w:val="00D93E85"/>
    <w:rsid w:val="00D950E1"/>
    <w:rsid w:val="00D952A6"/>
    <w:rsid w:val="00D96CAF"/>
    <w:rsid w:val="00D97F99"/>
    <w:rsid w:val="00DA1E08"/>
    <w:rsid w:val="00DA24F8"/>
    <w:rsid w:val="00DA2690"/>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AF9"/>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237"/>
    <w:rsid w:val="00E06404"/>
    <w:rsid w:val="00E11A85"/>
    <w:rsid w:val="00E12495"/>
    <w:rsid w:val="00E15CCD"/>
    <w:rsid w:val="00E1636B"/>
    <w:rsid w:val="00E202EF"/>
    <w:rsid w:val="00E210B5"/>
    <w:rsid w:val="00E23D99"/>
    <w:rsid w:val="00E2552F"/>
    <w:rsid w:val="00E3137A"/>
    <w:rsid w:val="00E32CCF"/>
    <w:rsid w:val="00E34A98"/>
    <w:rsid w:val="00E359E9"/>
    <w:rsid w:val="00E35D1E"/>
    <w:rsid w:val="00E364F9"/>
    <w:rsid w:val="00E365FA"/>
    <w:rsid w:val="00E36789"/>
    <w:rsid w:val="00E415EC"/>
    <w:rsid w:val="00E44A83"/>
    <w:rsid w:val="00E4710E"/>
    <w:rsid w:val="00E502C1"/>
    <w:rsid w:val="00E502DD"/>
    <w:rsid w:val="00E50D3A"/>
    <w:rsid w:val="00E51387"/>
    <w:rsid w:val="00E51E68"/>
    <w:rsid w:val="00E52EFD"/>
    <w:rsid w:val="00E5408A"/>
    <w:rsid w:val="00E5428F"/>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4FF"/>
    <w:rsid w:val="00E90391"/>
    <w:rsid w:val="00E906C2"/>
    <w:rsid w:val="00E92613"/>
    <w:rsid w:val="00E9311F"/>
    <w:rsid w:val="00E934D1"/>
    <w:rsid w:val="00E93E5B"/>
    <w:rsid w:val="00E94AF0"/>
    <w:rsid w:val="00E95D13"/>
    <w:rsid w:val="00E95DD3"/>
    <w:rsid w:val="00E969D5"/>
    <w:rsid w:val="00EA08D2"/>
    <w:rsid w:val="00EA29CB"/>
    <w:rsid w:val="00EA58D1"/>
    <w:rsid w:val="00EA61BC"/>
    <w:rsid w:val="00EA681A"/>
    <w:rsid w:val="00EA735B"/>
    <w:rsid w:val="00EB17DE"/>
    <w:rsid w:val="00EB1E69"/>
    <w:rsid w:val="00EB2086"/>
    <w:rsid w:val="00EB3936"/>
    <w:rsid w:val="00EB5655"/>
    <w:rsid w:val="00EB5EDF"/>
    <w:rsid w:val="00EB60FE"/>
    <w:rsid w:val="00EB74DB"/>
    <w:rsid w:val="00EC5359"/>
    <w:rsid w:val="00EC562A"/>
    <w:rsid w:val="00ED067A"/>
    <w:rsid w:val="00ED2B50"/>
    <w:rsid w:val="00EE0350"/>
    <w:rsid w:val="00EE0719"/>
    <w:rsid w:val="00EE0E80"/>
    <w:rsid w:val="00EE539E"/>
    <w:rsid w:val="00EE54A6"/>
    <w:rsid w:val="00EE613F"/>
    <w:rsid w:val="00EE7295"/>
    <w:rsid w:val="00EE76FE"/>
    <w:rsid w:val="00EE7869"/>
    <w:rsid w:val="00EF054A"/>
    <w:rsid w:val="00EF3235"/>
    <w:rsid w:val="00EF7E72"/>
    <w:rsid w:val="00F06D37"/>
    <w:rsid w:val="00F07B9D"/>
    <w:rsid w:val="00F11586"/>
    <w:rsid w:val="00F1183B"/>
    <w:rsid w:val="00F11C9F"/>
    <w:rsid w:val="00F12263"/>
    <w:rsid w:val="00F1409D"/>
    <w:rsid w:val="00F14214"/>
    <w:rsid w:val="00F157A9"/>
    <w:rsid w:val="00F20C3C"/>
    <w:rsid w:val="00F25A93"/>
    <w:rsid w:val="00F25BB6"/>
    <w:rsid w:val="00F26B7E"/>
    <w:rsid w:val="00F27A3B"/>
    <w:rsid w:val="00F33817"/>
    <w:rsid w:val="00F41BEF"/>
    <w:rsid w:val="00F420D5"/>
    <w:rsid w:val="00F451EA"/>
    <w:rsid w:val="00F45447"/>
    <w:rsid w:val="00F456C6"/>
    <w:rsid w:val="00F4577B"/>
    <w:rsid w:val="00F46496"/>
    <w:rsid w:val="00F474D0"/>
    <w:rsid w:val="00F50179"/>
    <w:rsid w:val="00F515EE"/>
    <w:rsid w:val="00F545F5"/>
    <w:rsid w:val="00F56511"/>
    <w:rsid w:val="00F6051D"/>
    <w:rsid w:val="00F6194E"/>
    <w:rsid w:val="00F623AC"/>
    <w:rsid w:val="00F6412A"/>
    <w:rsid w:val="00F65217"/>
    <w:rsid w:val="00F65893"/>
    <w:rsid w:val="00F66A4A"/>
    <w:rsid w:val="00F70B4A"/>
    <w:rsid w:val="00F71E22"/>
    <w:rsid w:val="00F72142"/>
    <w:rsid w:val="00F72AE7"/>
    <w:rsid w:val="00F73FBA"/>
    <w:rsid w:val="00F81141"/>
    <w:rsid w:val="00F833BA"/>
    <w:rsid w:val="00F84FD0"/>
    <w:rsid w:val="00F859A8"/>
    <w:rsid w:val="00F85D4A"/>
    <w:rsid w:val="00F86D87"/>
    <w:rsid w:val="00F90446"/>
    <w:rsid w:val="00F9108B"/>
    <w:rsid w:val="00F91349"/>
    <w:rsid w:val="00F93A8A"/>
    <w:rsid w:val="00F95248"/>
    <w:rsid w:val="00F956A9"/>
    <w:rsid w:val="00F963ED"/>
    <w:rsid w:val="00F966CF"/>
    <w:rsid w:val="00F96CAE"/>
    <w:rsid w:val="00F97C99"/>
    <w:rsid w:val="00FA4108"/>
    <w:rsid w:val="00FA4DAC"/>
    <w:rsid w:val="00FA662D"/>
    <w:rsid w:val="00FA6CCB"/>
    <w:rsid w:val="00FA73B1"/>
    <w:rsid w:val="00FB0CB9"/>
    <w:rsid w:val="00FB231D"/>
    <w:rsid w:val="00FB45F1"/>
    <w:rsid w:val="00FB4A72"/>
    <w:rsid w:val="00FB5253"/>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7DA9381"/>
    <w:rsid w:val="63DD1E16"/>
    <w:rsid w:val="77FFD3FF"/>
    <w:rsid w:val="789F8096"/>
    <w:rsid w:val="7D77392C"/>
    <w:rsid w:val="CDFE46AC"/>
    <w:rsid w:val="D6FC42F6"/>
    <w:rsid w:val="F7925A74"/>
    <w:rsid w:val="F99B6674"/>
    <w:rsid w:val="F9F1E97F"/>
    <w:rsid w:val="FBFA1985"/>
    <w:rsid w:val="FEAB685B"/>
    <w:rsid w:val="FFFF2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ind w:left="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ind w:left="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paragraph" w:customStyle="1" w:styleId="232">
    <w:name w:val="段"/>
    <w:link w:val="23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3">
    <w:name w:val="段 Char"/>
    <w:link w:val="232"/>
    <w:qFormat/>
    <w:uiPriority w:val="0"/>
    <w:rPr>
      <w:rFonts w:ascii="宋体" w:hAnsi="Times New Roman"/>
      <w:sz w:val="21"/>
    </w:rPr>
  </w:style>
  <w:style w:type="paragraph" w:customStyle="1" w:styleId="234">
    <w:name w:val="章标题"/>
    <w:next w:val="232"/>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235">
    <w:name w:val="一级条标题"/>
    <w:next w:val="232"/>
    <w:qFormat/>
    <w:uiPriority w:val="0"/>
    <w:pPr>
      <w:tabs>
        <w:tab w:val="left" w:pos="2258"/>
      </w:tabs>
      <w:ind w:left="2258" w:hanging="420"/>
      <w:outlineLvl w:val="2"/>
    </w:pPr>
    <w:rPr>
      <w:rFonts w:ascii="Times New Roman" w:hAnsi="Times New Roman" w:eastAsia="黑体" w:cs="Times New Roman"/>
      <w:sz w:val="21"/>
      <w:lang w:val="en-US" w:eastAsia="zh-CN" w:bidi="ar-SA"/>
    </w:rPr>
  </w:style>
  <w:style w:type="paragraph" w:customStyle="1" w:styleId="236">
    <w:name w:val="二级条标题"/>
    <w:basedOn w:val="235"/>
    <w:next w:val="232"/>
    <w:qFormat/>
    <w:uiPriority w:val="0"/>
    <w:pPr>
      <w:outlineLvl w:val="3"/>
    </w:pPr>
  </w:style>
  <w:style w:type="paragraph" w:customStyle="1" w:styleId="237">
    <w:name w:val="三级条标题"/>
    <w:basedOn w:val="236"/>
    <w:next w:val="232"/>
    <w:qFormat/>
    <w:uiPriority w:val="0"/>
    <w:pPr>
      <w:tabs>
        <w:tab w:val="left" w:pos="2100"/>
      </w:tabs>
      <w:outlineLvl w:val="4"/>
    </w:pPr>
  </w:style>
  <w:style w:type="paragraph" w:customStyle="1" w:styleId="238">
    <w:name w:val="正文表标题"/>
    <w:next w:val="232"/>
    <w:qFormat/>
    <w:uiPriority w:val="0"/>
    <w:pPr>
      <w:numPr>
        <w:ilvl w:val="6"/>
        <w:numId w:val="1"/>
      </w:numPr>
      <w:jc w:val="center"/>
    </w:pPr>
    <w:rPr>
      <w:rFonts w:ascii="黑体" w:hAnsi="Times New Roman" w:eastAsia="黑体" w:cs="Times New Roman"/>
      <w:sz w:val="21"/>
      <w:lang w:val="en-US" w:eastAsia="zh-CN" w:bidi="ar-SA"/>
    </w:rPr>
  </w:style>
  <w:style w:type="paragraph" w:customStyle="1" w:styleId="239">
    <w:name w:val="二级无"/>
    <w:basedOn w:val="236"/>
    <w:qFormat/>
    <w:uiPriority w:val="0"/>
    <w:rPr>
      <w:rFonts w:ascii="宋体" w:eastAsia="宋体"/>
      <w:szCs w:val="21"/>
    </w:rPr>
  </w:style>
  <w:style w:type="paragraph" w:customStyle="1" w:styleId="240">
    <w:name w:val="三级无"/>
    <w:basedOn w:val="237"/>
    <w:qFormat/>
    <w:uiPriority w:val="0"/>
    <w:pPr>
      <w:numPr>
        <w:ilvl w:val="3"/>
        <w:numId w:val="1"/>
      </w:numPr>
      <w:tabs>
        <w:tab w:val="clear" w:pos="2100"/>
      </w:tabs>
      <w:ind w:left="0"/>
    </w:pPr>
    <w:rPr>
      <w:rFonts w:ascii="宋体" w:eastAsia="宋体"/>
      <w:szCs w:val="21"/>
    </w:rPr>
  </w:style>
  <w:style w:type="paragraph" w:customStyle="1" w:styleId="241">
    <w:name w:val="四级无"/>
    <w:basedOn w:val="1"/>
    <w:qFormat/>
    <w:uiPriority w:val="0"/>
    <w:pPr>
      <w:widowControl/>
      <w:numPr>
        <w:ilvl w:val="4"/>
        <w:numId w:val="1"/>
      </w:numPr>
      <w:tabs>
        <w:tab w:val="left" w:pos="2100"/>
      </w:tabs>
      <w:adjustRightInd/>
      <w:spacing w:line="240" w:lineRule="auto"/>
      <w:jc w:val="left"/>
      <w:outlineLvl w:val="5"/>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A84935F079D4B60ADF07758D22FF8D0"/>
        <w:style w:val=""/>
        <w:category>
          <w:name w:val="常规"/>
          <w:gallery w:val="placeholder"/>
        </w:category>
        <w:types>
          <w:type w:val="bbPlcHdr"/>
        </w:types>
        <w:behaviors>
          <w:behavior w:val="content"/>
        </w:behaviors>
        <w:description w:val=""/>
        <w:guid w:val="{33050F31-623B-4351-B5E1-ECCED0E0AB44}"/>
      </w:docPartPr>
      <w:docPartBody>
        <w:p>
          <w:pPr>
            <w:pStyle w:val="5"/>
          </w:pPr>
          <w:r>
            <w:rPr>
              <w:rStyle w:val="4"/>
              <w:rFonts w:hint="eastAsia"/>
            </w:rPr>
            <w:t>单击或点击此处输入文字。</w:t>
          </w:r>
        </w:p>
      </w:docPartBody>
    </w:docPart>
    <w:docPart>
      <w:docPartPr>
        <w:name w:val="94DA0073722449189B8C2A9DB0EA16B0"/>
        <w:style w:val=""/>
        <w:category>
          <w:name w:val="常规"/>
          <w:gallery w:val="placeholder"/>
        </w:category>
        <w:types>
          <w:type w:val="bbPlcHdr"/>
        </w:types>
        <w:behaviors>
          <w:behavior w:val="content"/>
        </w:behaviors>
        <w:description w:val=""/>
        <w:guid w:val="{EFF60274-079C-49D7-A9B7-8458CEDEDCCE}"/>
      </w:docPartPr>
      <w:docPartBody>
        <w:p>
          <w:pPr>
            <w:pStyle w:val="6"/>
          </w:pPr>
          <w:r>
            <w:rPr>
              <w:rStyle w:val="4"/>
              <w:rFonts w:hint="eastAsia"/>
            </w:rPr>
            <w:t>选择一项。</w:t>
          </w:r>
        </w:p>
      </w:docPartBody>
    </w:docPart>
    <w:docPart>
      <w:docPartPr>
        <w:name w:val="77F52F51E8674573B9132403EF0F1281"/>
        <w:style w:val=""/>
        <w:category>
          <w:name w:val="常规"/>
          <w:gallery w:val="placeholder"/>
        </w:category>
        <w:types>
          <w:type w:val="bbPlcHdr"/>
        </w:types>
        <w:behaviors>
          <w:behavior w:val="content"/>
        </w:behaviors>
        <w:description w:val=""/>
        <w:guid w:val="{2ABFD307-4547-45C4-B1C1-7E9E5EC5796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
    <w:panose1 w:val="00000000000000000000"/>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3F9D"/>
    <w:rsid w:val="000300EF"/>
    <w:rsid w:val="001B7500"/>
    <w:rsid w:val="001F4A21"/>
    <w:rsid w:val="002013C4"/>
    <w:rsid w:val="00212162"/>
    <w:rsid w:val="00262929"/>
    <w:rsid w:val="002A0523"/>
    <w:rsid w:val="002E3EBB"/>
    <w:rsid w:val="0036137D"/>
    <w:rsid w:val="003A11F8"/>
    <w:rsid w:val="003F7883"/>
    <w:rsid w:val="004C2725"/>
    <w:rsid w:val="00500C6A"/>
    <w:rsid w:val="00520880"/>
    <w:rsid w:val="005C3CEE"/>
    <w:rsid w:val="00693EDA"/>
    <w:rsid w:val="006D3D4A"/>
    <w:rsid w:val="007041A7"/>
    <w:rsid w:val="00742249"/>
    <w:rsid w:val="0077434F"/>
    <w:rsid w:val="00782F04"/>
    <w:rsid w:val="007A5448"/>
    <w:rsid w:val="007A66FD"/>
    <w:rsid w:val="007C5AEC"/>
    <w:rsid w:val="008811DC"/>
    <w:rsid w:val="00903F9D"/>
    <w:rsid w:val="00973E0C"/>
    <w:rsid w:val="009A5F39"/>
    <w:rsid w:val="009D78AD"/>
    <w:rsid w:val="009E4737"/>
    <w:rsid w:val="00A0673D"/>
    <w:rsid w:val="00A46D6D"/>
    <w:rsid w:val="00A600BB"/>
    <w:rsid w:val="00BA09F1"/>
    <w:rsid w:val="00C42DAB"/>
    <w:rsid w:val="00C706A0"/>
    <w:rsid w:val="00EF7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A84935F079D4B60ADF07758D22FF8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4DA0073722449189B8C2A9DB0EA16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7F52F51E8674573B9132403EF0F128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678</Words>
  <Characters>3867</Characters>
  <Lines>32</Lines>
  <Paragraphs>9</Paragraphs>
  <TotalTime>24</TotalTime>
  <ScaleCrop>false</ScaleCrop>
  <LinksUpToDate>false</LinksUpToDate>
  <CharactersWithSpaces>4536</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2022-08-09T03:16:00Z</dcterms:created>
  <dc:creator>lenovo</dc:creator>
  <cp:lastModifiedBy>kylin</cp:lastModifiedBy>
  <cp:lastPrinted>2023-03-04T07:41:00Z</cp:lastPrinted>
  <dcterms:modified xsi:type="dcterms:W3CDTF">2025-06-09T09:21:10Z</dcterms:modified>
  <dc:title>地方标准</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2052-11.8.2.9958</vt:lpwstr>
  </property>
</Properties>
</file>