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8D62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94C2F8B">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46E1E82">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1713F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CEC37D7">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FABFA2F">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599DEB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0819E38">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41xxx</w:t>
            </w:r>
            <w:r>
              <w:fldChar w:fldCharType="end"/>
            </w:r>
            <w:bookmarkEnd w:id="3"/>
          </w:p>
        </w:tc>
      </w:tr>
    </w:tbl>
    <w:p w14:paraId="6B65CFD3">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南阳市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459E7C6">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4387D3E">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88A941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7C85081">
      <w:pPr>
        <w:pStyle w:val="50"/>
        <w:framePr w:w="9639" w:h="6976" w:hRule="exact" w:hSpace="0" w:vSpace="0" w:wrap="around" w:hAnchor="page" w:y="6408"/>
        <w:jc w:val="center"/>
        <w:rPr>
          <w:rFonts w:ascii="黑体" w:hAnsi="黑体" w:eastAsia="黑体"/>
          <w:b w:val="0"/>
          <w:bCs w:val="0"/>
          <w:w w:val="100"/>
        </w:rPr>
      </w:pPr>
    </w:p>
    <w:p w14:paraId="53FED661">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肉、奶</w:t>
      </w:r>
      <w:r>
        <w:t>牛蹄</w:t>
      </w:r>
      <w:r>
        <w:rPr>
          <w:rFonts w:hint="eastAsia"/>
        </w:rPr>
        <w:t>部</w:t>
      </w:r>
      <w:r>
        <w:t>保健技术规范</w:t>
      </w:r>
      <w:r>
        <w:fldChar w:fldCharType="end"/>
      </w:r>
      <w:bookmarkEnd w:id="9"/>
    </w:p>
    <w:p w14:paraId="27D9CED2">
      <w:pPr>
        <w:framePr w:w="9639" w:h="6974" w:hRule="exact" w:wrap="around" w:vAnchor="page" w:hAnchor="page" w:x="1419" w:y="6408" w:anchorLock="1"/>
        <w:ind w:left="-1418"/>
      </w:pPr>
    </w:p>
    <w:p w14:paraId="3B80C66F">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10"/>
    </w:p>
    <w:p w14:paraId="118A88EC">
      <w:pPr>
        <w:framePr w:w="9639" w:h="6974" w:hRule="exact" w:wrap="around" w:vAnchor="page" w:hAnchor="page" w:x="1419" w:y="6408" w:anchorLock="1"/>
        <w:spacing w:line="760" w:lineRule="exact"/>
        <w:ind w:left="-1418"/>
      </w:pPr>
    </w:p>
    <w:p w14:paraId="38FB057D">
      <w:pPr>
        <w:pStyle w:val="125"/>
        <w:framePr w:w="9639" w:h="6974" w:hRule="exact" w:wrap="around" w:vAnchor="page" w:hAnchor="page" w:x="1419" w:y="6408" w:anchorLock="1"/>
        <w:textAlignment w:val="bottom"/>
        <w:rPr>
          <w:rFonts w:eastAsia="黑体"/>
          <w:szCs w:val="28"/>
        </w:rPr>
      </w:pPr>
    </w:p>
    <w:p w14:paraId="1F377ACA">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50629BC">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 ）</w:t>
      </w:r>
      <w:r>
        <w:rPr>
          <w:sz w:val="21"/>
          <w:szCs w:val="28"/>
        </w:rPr>
        <w:fldChar w:fldCharType="end"/>
      </w:r>
      <w:bookmarkEnd w:id="12"/>
    </w:p>
    <w:p w14:paraId="228151F4">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3BA5F06">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28684C8">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C8382F3">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南阳市市场监督局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0FD5A6AB">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F1DEA11">
      <w:pPr>
        <w:pStyle w:val="91"/>
        <w:spacing w:after="468"/>
      </w:pPr>
      <w:bookmarkStart w:id="21" w:name="BookMark1"/>
      <w:bookmarkStart w:id="22" w:name="_Toc183597949"/>
      <w:r>
        <w:rPr>
          <w:rFonts w:hint="eastAsia"/>
          <w:spacing w:val="320"/>
        </w:rPr>
        <w:t>目</w:t>
      </w:r>
      <w:r>
        <w:rPr>
          <w:rFonts w:hint="eastAsia"/>
        </w:rPr>
        <w:t>次</w:t>
      </w:r>
    </w:p>
    <w:p w14:paraId="1BE81F94">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"_Toc195604820" </w:instrText>
      </w:r>
      <w:r>
        <w:fldChar w:fldCharType="separate"/>
      </w:r>
      <w:r>
        <w:rPr>
          <w:rStyle w:val="32"/>
          <w:rFonts w:hint="eastAsia"/>
        </w:rPr>
        <w:t>前言</w:t>
      </w:r>
      <w:r>
        <w:tab/>
      </w:r>
      <w:r>
        <w:fldChar w:fldCharType="begin"/>
      </w:r>
      <w:r>
        <w:instrText xml:space="preserve"> PAGEREF _Toc195604820 \h </w:instrText>
      </w:r>
      <w:r>
        <w:fldChar w:fldCharType="separate"/>
      </w:r>
      <w:r>
        <w:t>II</w:t>
      </w:r>
      <w:r>
        <w:fldChar w:fldCharType="end"/>
      </w:r>
      <w:r>
        <w:fldChar w:fldCharType="end"/>
      </w:r>
    </w:p>
    <w:p w14:paraId="5A844C3C">
      <w:pPr>
        <w:pStyle w:val="19"/>
        <w:tabs>
          <w:tab w:val="right" w:leader="dot" w:pos="9344"/>
        </w:tabs>
        <w:rPr>
          <w:rFonts w:asciiTheme="minorHAnsi" w:hAnsiTheme="minorHAnsi" w:eastAsiaTheme="minorEastAsia" w:cstheme="minorBidi"/>
          <w:szCs w:val="22"/>
        </w:rPr>
      </w:pPr>
      <w:r>
        <w:fldChar w:fldCharType="begin"/>
      </w:r>
      <w:r>
        <w:instrText xml:space="preserve"> HYPERLINK \l "_Toc195604821" </w:instrText>
      </w:r>
      <w:r>
        <w:fldChar w:fldCharType="separate"/>
      </w:r>
      <w:r>
        <w:rPr>
          <w:rStyle w:val="32"/>
        </w:rPr>
        <w:t xml:space="preserve">1 </w:t>
      </w:r>
      <w:r>
        <w:rPr>
          <w:rStyle w:val="32"/>
          <w:rFonts w:hint="eastAsia"/>
        </w:rPr>
        <w:t xml:space="preserve"> 范围</w:t>
      </w:r>
      <w:r>
        <w:tab/>
      </w:r>
      <w:r>
        <w:fldChar w:fldCharType="begin"/>
      </w:r>
      <w:r>
        <w:instrText xml:space="preserve"> PAGEREF _Toc195604821 \h </w:instrText>
      </w:r>
      <w:r>
        <w:fldChar w:fldCharType="separate"/>
      </w:r>
      <w:r>
        <w:t>1</w:t>
      </w:r>
      <w:r>
        <w:fldChar w:fldCharType="end"/>
      </w:r>
      <w:r>
        <w:fldChar w:fldCharType="end"/>
      </w:r>
    </w:p>
    <w:p w14:paraId="138E9D2C">
      <w:pPr>
        <w:pStyle w:val="19"/>
        <w:tabs>
          <w:tab w:val="right" w:leader="dot" w:pos="9344"/>
        </w:tabs>
        <w:rPr>
          <w:rFonts w:asciiTheme="minorHAnsi" w:hAnsiTheme="minorHAnsi" w:eastAsiaTheme="minorEastAsia" w:cstheme="minorBidi"/>
          <w:szCs w:val="22"/>
        </w:rPr>
      </w:pPr>
      <w:r>
        <w:fldChar w:fldCharType="begin"/>
      </w:r>
      <w:r>
        <w:instrText xml:space="preserve"> HYPERLINK \l "_Toc195604822" </w:instrText>
      </w:r>
      <w:r>
        <w:fldChar w:fldCharType="separate"/>
      </w:r>
      <w:r>
        <w:rPr>
          <w:rStyle w:val="32"/>
        </w:rPr>
        <w:t xml:space="preserve">2 </w:t>
      </w:r>
      <w:r>
        <w:rPr>
          <w:rStyle w:val="32"/>
          <w:rFonts w:hint="eastAsia"/>
        </w:rPr>
        <w:t xml:space="preserve"> 规范性引用文件</w:t>
      </w:r>
      <w:r>
        <w:tab/>
      </w:r>
      <w:r>
        <w:fldChar w:fldCharType="begin"/>
      </w:r>
      <w:r>
        <w:instrText xml:space="preserve"> PAGEREF _Toc195604822 \h </w:instrText>
      </w:r>
      <w:r>
        <w:fldChar w:fldCharType="separate"/>
      </w:r>
      <w:r>
        <w:t>1</w:t>
      </w:r>
      <w:r>
        <w:fldChar w:fldCharType="end"/>
      </w:r>
      <w:r>
        <w:fldChar w:fldCharType="end"/>
      </w:r>
    </w:p>
    <w:p w14:paraId="2E9BFBEC">
      <w:pPr>
        <w:pStyle w:val="19"/>
        <w:tabs>
          <w:tab w:val="right" w:leader="dot" w:pos="9344"/>
        </w:tabs>
        <w:rPr>
          <w:rFonts w:asciiTheme="minorHAnsi" w:hAnsiTheme="minorHAnsi" w:eastAsiaTheme="minorEastAsia" w:cstheme="minorBidi"/>
          <w:szCs w:val="22"/>
        </w:rPr>
      </w:pPr>
      <w:r>
        <w:fldChar w:fldCharType="begin"/>
      </w:r>
      <w:r>
        <w:instrText xml:space="preserve"> HYPERLINK \l "_Toc195604823" </w:instrText>
      </w:r>
      <w:r>
        <w:fldChar w:fldCharType="separate"/>
      </w:r>
      <w:r>
        <w:rPr>
          <w:rStyle w:val="32"/>
        </w:rPr>
        <w:t xml:space="preserve">3 </w:t>
      </w:r>
      <w:r>
        <w:rPr>
          <w:rStyle w:val="32"/>
          <w:rFonts w:hint="eastAsia"/>
        </w:rPr>
        <w:t xml:space="preserve"> 术语和定义</w:t>
      </w:r>
      <w:r>
        <w:tab/>
      </w:r>
      <w:r>
        <w:fldChar w:fldCharType="begin"/>
      </w:r>
      <w:r>
        <w:instrText xml:space="preserve"> PAGEREF _Toc195604823 \h </w:instrText>
      </w:r>
      <w:r>
        <w:fldChar w:fldCharType="separate"/>
      </w:r>
      <w:r>
        <w:t>1</w:t>
      </w:r>
      <w:r>
        <w:fldChar w:fldCharType="end"/>
      </w:r>
      <w:r>
        <w:fldChar w:fldCharType="end"/>
      </w:r>
    </w:p>
    <w:p w14:paraId="1C322249">
      <w:pPr>
        <w:pStyle w:val="19"/>
        <w:tabs>
          <w:tab w:val="right" w:leader="dot" w:pos="9344"/>
        </w:tabs>
        <w:rPr>
          <w:rFonts w:asciiTheme="minorHAnsi" w:hAnsiTheme="minorHAnsi" w:eastAsiaTheme="minorEastAsia" w:cstheme="minorBidi"/>
          <w:szCs w:val="22"/>
        </w:rPr>
      </w:pPr>
      <w:r>
        <w:fldChar w:fldCharType="begin"/>
      </w:r>
      <w:r>
        <w:instrText xml:space="preserve"> HYPERLINK \l "_Toc195604824" </w:instrText>
      </w:r>
      <w:r>
        <w:fldChar w:fldCharType="separate"/>
      </w:r>
      <w:r>
        <w:rPr>
          <w:rStyle w:val="32"/>
        </w:rPr>
        <w:t xml:space="preserve">4 </w:t>
      </w:r>
      <w:r>
        <w:rPr>
          <w:rStyle w:val="32"/>
          <w:rFonts w:hint="eastAsia"/>
        </w:rPr>
        <w:t xml:space="preserve"> 常规性管理</w:t>
      </w:r>
      <w:r>
        <w:tab/>
      </w:r>
      <w:r>
        <w:fldChar w:fldCharType="begin"/>
      </w:r>
      <w:r>
        <w:instrText xml:space="preserve"> PAGEREF _Toc195604824 \h </w:instrText>
      </w:r>
      <w:r>
        <w:fldChar w:fldCharType="separate"/>
      </w:r>
      <w:r>
        <w:t>2</w:t>
      </w:r>
      <w:r>
        <w:fldChar w:fldCharType="end"/>
      </w:r>
      <w:r>
        <w:fldChar w:fldCharType="end"/>
      </w:r>
    </w:p>
    <w:p w14:paraId="464BEDC3">
      <w:pPr>
        <w:pStyle w:val="24"/>
        <w:rPr>
          <w:rFonts w:asciiTheme="minorHAnsi" w:hAnsiTheme="minorHAnsi" w:eastAsiaTheme="minorEastAsia" w:cstheme="minorBidi"/>
          <w:szCs w:val="22"/>
        </w:rPr>
      </w:pPr>
      <w:r>
        <w:fldChar w:fldCharType="begin"/>
      </w:r>
      <w:r>
        <w:instrText xml:space="preserve"> HYPERLINK \l "_Toc195604825" </w:instrText>
      </w:r>
      <w:r>
        <w:fldChar w:fldCharType="separate"/>
      </w:r>
      <w:r>
        <w:rPr>
          <w:rStyle w:val="32"/>
          <w14:scene3d>
            <w14:lightRig w14:rig="threePt" w14:dir="t">
              <w14:rot w14:lat="0" w14:lon="0" w14:rev="0"/>
            </w14:lightRig>
          </w14:scene3d>
        </w:rPr>
        <w:t xml:space="preserve">4.1 </w:t>
      </w:r>
      <w:r>
        <w:rPr>
          <w:rStyle w:val="32"/>
          <w:rFonts w:hint="eastAsia"/>
        </w:rPr>
        <w:t xml:space="preserve"> 基本要求</w:t>
      </w:r>
      <w:r>
        <w:tab/>
      </w:r>
      <w:r>
        <w:fldChar w:fldCharType="begin"/>
      </w:r>
      <w:r>
        <w:instrText xml:space="preserve"> PAGEREF _Toc195604825 \h </w:instrText>
      </w:r>
      <w:r>
        <w:fldChar w:fldCharType="separate"/>
      </w:r>
      <w:r>
        <w:t>2</w:t>
      </w:r>
      <w:r>
        <w:fldChar w:fldCharType="end"/>
      </w:r>
      <w:r>
        <w:fldChar w:fldCharType="end"/>
      </w:r>
    </w:p>
    <w:p w14:paraId="2C5780E2">
      <w:pPr>
        <w:pStyle w:val="24"/>
        <w:rPr>
          <w:rFonts w:asciiTheme="minorHAnsi" w:hAnsiTheme="minorHAnsi" w:eastAsiaTheme="minorEastAsia" w:cstheme="minorBidi"/>
          <w:szCs w:val="22"/>
        </w:rPr>
      </w:pPr>
      <w:r>
        <w:fldChar w:fldCharType="begin"/>
      </w:r>
      <w:r>
        <w:instrText xml:space="preserve"> HYPERLINK \l "_Toc195604826" </w:instrText>
      </w:r>
      <w:r>
        <w:fldChar w:fldCharType="separate"/>
      </w:r>
      <w:r>
        <w:rPr>
          <w:rStyle w:val="32"/>
          <w14:scene3d>
            <w14:lightRig w14:rig="threePt" w14:dir="t">
              <w14:rot w14:lat="0" w14:lon="0" w14:rev="0"/>
            </w14:lightRig>
          </w14:scene3d>
        </w:rPr>
        <w:t xml:space="preserve">4.2 </w:t>
      </w:r>
      <w:r>
        <w:rPr>
          <w:rStyle w:val="32"/>
          <w:rFonts w:hint="eastAsia"/>
        </w:rPr>
        <w:t xml:space="preserve"> 环境卫生控制</w:t>
      </w:r>
      <w:r>
        <w:tab/>
      </w:r>
      <w:r>
        <w:fldChar w:fldCharType="begin"/>
      </w:r>
      <w:r>
        <w:instrText xml:space="preserve"> PAGEREF _Toc195604826 \h </w:instrText>
      </w:r>
      <w:r>
        <w:fldChar w:fldCharType="separate"/>
      </w:r>
      <w:r>
        <w:t>2</w:t>
      </w:r>
      <w:r>
        <w:fldChar w:fldCharType="end"/>
      </w:r>
      <w:r>
        <w:fldChar w:fldCharType="end"/>
      </w:r>
    </w:p>
    <w:p w14:paraId="4E510565">
      <w:pPr>
        <w:pStyle w:val="24"/>
        <w:rPr>
          <w:rFonts w:asciiTheme="minorHAnsi" w:hAnsiTheme="minorHAnsi" w:eastAsiaTheme="minorEastAsia" w:cstheme="minorBidi"/>
          <w:szCs w:val="22"/>
        </w:rPr>
      </w:pPr>
      <w:r>
        <w:fldChar w:fldCharType="begin"/>
      </w:r>
      <w:r>
        <w:instrText xml:space="preserve"> HYPERLINK \l "_Toc195604827" </w:instrText>
      </w:r>
      <w:r>
        <w:fldChar w:fldCharType="separate"/>
      </w:r>
      <w:r>
        <w:rPr>
          <w:rStyle w:val="32"/>
          <w14:scene3d>
            <w14:lightRig w14:rig="threePt" w14:dir="t">
              <w14:rot w14:lat="0" w14:lon="0" w14:rev="0"/>
            </w14:lightRig>
          </w14:scene3d>
        </w:rPr>
        <w:t xml:space="preserve">4.3 </w:t>
      </w:r>
      <w:r>
        <w:rPr>
          <w:rStyle w:val="32"/>
          <w:rFonts w:hint="eastAsia"/>
        </w:rPr>
        <w:t xml:space="preserve"> 日常管理</w:t>
      </w:r>
      <w:r>
        <w:tab/>
      </w:r>
      <w:r>
        <w:fldChar w:fldCharType="begin"/>
      </w:r>
      <w:r>
        <w:instrText xml:space="preserve"> PAGEREF _Toc195604827 \h </w:instrText>
      </w:r>
      <w:r>
        <w:fldChar w:fldCharType="separate"/>
      </w:r>
      <w:r>
        <w:t>2</w:t>
      </w:r>
      <w:r>
        <w:fldChar w:fldCharType="end"/>
      </w:r>
      <w:r>
        <w:fldChar w:fldCharType="end"/>
      </w:r>
    </w:p>
    <w:p w14:paraId="28894F97">
      <w:pPr>
        <w:pStyle w:val="24"/>
        <w:rPr>
          <w:rFonts w:asciiTheme="minorHAnsi" w:hAnsiTheme="minorHAnsi" w:eastAsiaTheme="minorEastAsia" w:cstheme="minorBidi"/>
          <w:szCs w:val="22"/>
        </w:rPr>
      </w:pPr>
      <w:r>
        <w:fldChar w:fldCharType="begin"/>
      </w:r>
      <w:r>
        <w:instrText xml:space="preserve"> HYPERLINK \l "_Toc195604828" </w:instrText>
      </w:r>
      <w:r>
        <w:fldChar w:fldCharType="separate"/>
      </w:r>
      <w:r>
        <w:rPr>
          <w:rStyle w:val="32"/>
          <w14:scene3d>
            <w14:lightRig w14:rig="threePt" w14:dir="t">
              <w14:rot w14:lat="0" w14:lon="0" w14:rev="0"/>
            </w14:lightRig>
          </w14:scene3d>
        </w:rPr>
        <w:t xml:space="preserve">4.4 </w:t>
      </w:r>
      <w:r>
        <w:rPr>
          <w:rStyle w:val="32"/>
          <w:rFonts w:hint="eastAsia"/>
        </w:rPr>
        <w:t xml:space="preserve"> 营养需要</w:t>
      </w:r>
      <w:r>
        <w:tab/>
      </w:r>
      <w:r>
        <w:fldChar w:fldCharType="begin"/>
      </w:r>
      <w:r>
        <w:instrText xml:space="preserve"> PAGEREF _Toc195604828 \h </w:instrText>
      </w:r>
      <w:r>
        <w:fldChar w:fldCharType="separate"/>
      </w:r>
      <w:r>
        <w:t>2</w:t>
      </w:r>
      <w:r>
        <w:fldChar w:fldCharType="end"/>
      </w:r>
      <w:r>
        <w:fldChar w:fldCharType="end"/>
      </w:r>
    </w:p>
    <w:p w14:paraId="54ADFC22">
      <w:pPr>
        <w:pStyle w:val="19"/>
        <w:tabs>
          <w:tab w:val="right" w:leader="dot" w:pos="9344"/>
        </w:tabs>
        <w:rPr>
          <w:rFonts w:asciiTheme="minorHAnsi" w:hAnsiTheme="minorHAnsi" w:eastAsiaTheme="minorEastAsia" w:cstheme="minorBidi"/>
          <w:szCs w:val="22"/>
        </w:rPr>
      </w:pPr>
      <w:r>
        <w:fldChar w:fldCharType="begin"/>
      </w:r>
      <w:r>
        <w:instrText xml:space="preserve"> HYPERLINK \l "_Toc195604829" </w:instrText>
      </w:r>
      <w:r>
        <w:fldChar w:fldCharType="separate"/>
      </w:r>
      <w:r>
        <w:rPr>
          <w:rStyle w:val="32"/>
        </w:rPr>
        <w:t xml:space="preserve">5 </w:t>
      </w:r>
      <w:r>
        <w:rPr>
          <w:rStyle w:val="32"/>
          <w:rFonts w:hint="eastAsia"/>
        </w:rPr>
        <w:t xml:space="preserve"> 蹄部药浴</w:t>
      </w:r>
      <w:r>
        <w:tab/>
      </w:r>
      <w:r>
        <w:fldChar w:fldCharType="begin"/>
      </w:r>
      <w:r>
        <w:instrText xml:space="preserve"> PAGEREF _Toc195604829 \h </w:instrText>
      </w:r>
      <w:r>
        <w:fldChar w:fldCharType="separate"/>
      </w:r>
      <w:r>
        <w:t>2</w:t>
      </w:r>
      <w:r>
        <w:fldChar w:fldCharType="end"/>
      </w:r>
      <w:r>
        <w:fldChar w:fldCharType="end"/>
      </w:r>
    </w:p>
    <w:p w14:paraId="30B13F6F">
      <w:pPr>
        <w:pStyle w:val="24"/>
        <w:rPr>
          <w:rFonts w:asciiTheme="minorHAnsi" w:hAnsiTheme="minorHAnsi" w:eastAsiaTheme="minorEastAsia" w:cstheme="minorBidi"/>
          <w:szCs w:val="22"/>
        </w:rPr>
      </w:pPr>
      <w:r>
        <w:fldChar w:fldCharType="begin"/>
      </w:r>
      <w:r>
        <w:instrText xml:space="preserve"> HYPERLINK \l "_Toc195604830" </w:instrText>
      </w:r>
      <w:r>
        <w:fldChar w:fldCharType="separate"/>
      </w:r>
      <w:r>
        <w:rPr>
          <w:rStyle w:val="32"/>
          <w14:scene3d>
            <w14:lightRig w14:rig="threePt" w14:dir="t">
              <w14:rot w14:lat="0" w14:lon="0" w14:rev="0"/>
            </w14:lightRig>
          </w14:scene3d>
        </w:rPr>
        <w:t xml:space="preserve">5.1 </w:t>
      </w:r>
      <w:r>
        <w:rPr>
          <w:rStyle w:val="32"/>
          <w:rFonts w:hint="eastAsia"/>
        </w:rPr>
        <w:t xml:space="preserve"> 浴蹄池设置</w:t>
      </w:r>
      <w:r>
        <w:tab/>
      </w:r>
      <w:r>
        <w:fldChar w:fldCharType="begin"/>
      </w:r>
      <w:r>
        <w:instrText xml:space="preserve"> PAGEREF _Toc195604830 \h </w:instrText>
      </w:r>
      <w:r>
        <w:fldChar w:fldCharType="separate"/>
      </w:r>
      <w:r>
        <w:t>2</w:t>
      </w:r>
      <w:r>
        <w:fldChar w:fldCharType="end"/>
      </w:r>
      <w:r>
        <w:fldChar w:fldCharType="end"/>
      </w:r>
    </w:p>
    <w:p w14:paraId="76471A51">
      <w:pPr>
        <w:pStyle w:val="24"/>
        <w:rPr>
          <w:rFonts w:asciiTheme="minorHAnsi" w:hAnsiTheme="minorHAnsi" w:eastAsiaTheme="minorEastAsia" w:cstheme="minorBidi"/>
          <w:szCs w:val="22"/>
        </w:rPr>
      </w:pPr>
      <w:r>
        <w:fldChar w:fldCharType="begin"/>
      </w:r>
      <w:r>
        <w:instrText xml:space="preserve"> HYPERLINK \l "_Toc195604831" </w:instrText>
      </w:r>
      <w:r>
        <w:fldChar w:fldCharType="separate"/>
      </w:r>
      <w:r>
        <w:rPr>
          <w:rStyle w:val="32"/>
          <w14:scene3d>
            <w14:lightRig w14:rig="threePt" w14:dir="t">
              <w14:rot w14:lat="0" w14:lon="0" w14:rev="0"/>
            </w14:lightRig>
          </w14:scene3d>
        </w:rPr>
        <w:t xml:space="preserve">5.2 </w:t>
      </w:r>
      <w:r>
        <w:rPr>
          <w:rStyle w:val="32"/>
          <w:rFonts w:hint="eastAsia"/>
        </w:rPr>
        <w:t xml:space="preserve"> 药物选择及浓度</w:t>
      </w:r>
      <w:r>
        <w:tab/>
      </w:r>
      <w:r>
        <w:fldChar w:fldCharType="begin"/>
      </w:r>
      <w:r>
        <w:instrText xml:space="preserve"> PAGEREF _Toc195604831 \h </w:instrText>
      </w:r>
      <w:r>
        <w:fldChar w:fldCharType="separate"/>
      </w:r>
      <w:r>
        <w:t>3</w:t>
      </w:r>
      <w:r>
        <w:fldChar w:fldCharType="end"/>
      </w:r>
      <w:r>
        <w:fldChar w:fldCharType="end"/>
      </w:r>
    </w:p>
    <w:p w14:paraId="646D1650">
      <w:pPr>
        <w:pStyle w:val="24"/>
        <w:rPr>
          <w:rFonts w:asciiTheme="minorHAnsi" w:hAnsiTheme="minorHAnsi" w:eastAsiaTheme="minorEastAsia" w:cstheme="minorBidi"/>
          <w:szCs w:val="22"/>
        </w:rPr>
      </w:pPr>
      <w:r>
        <w:fldChar w:fldCharType="begin"/>
      </w:r>
      <w:r>
        <w:instrText xml:space="preserve"> HYPERLINK \l "_Toc195604832" </w:instrText>
      </w:r>
      <w:r>
        <w:fldChar w:fldCharType="separate"/>
      </w:r>
      <w:r>
        <w:rPr>
          <w:rStyle w:val="32"/>
          <w14:scene3d>
            <w14:lightRig w14:rig="threePt" w14:dir="t">
              <w14:rot w14:lat="0" w14:lon="0" w14:rev="0"/>
            </w14:lightRig>
          </w14:scene3d>
        </w:rPr>
        <w:t xml:space="preserve">5.3 </w:t>
      </w:r>
      <w:r>
        <w:rPr>
          <w:rStyle w:val="32"/>
          <w:rFonts w:hint="eastAsia"/>
        </w:rPr>
        <w:t xml:space="preserve"> 浴蹄方法和频次</w:t>
      </w:r>
      <w:r>
        <w:tab/>
      </w:r>
      <w:r>
        <w:fldChar w:fldCharType="begin"/>
      </w:r>
      <w:r>
        <w:instrText xml:space="preserve"> PAGEREF _Toc195604832 \h </w:instrText>
      </w:r>
      <w:r>
        <w:fldChar w:fldCharType="separate"/>
      </w:r>
      <w:r>
        <w:t>3</w:t>
      </w:r>
      <w:r>
        <w:fldChar w:fldCharType="end"/>
      </w:r>
      <w:r>
        <w:fldChar w:fldCharType="end"/>
      </w:r>
    </w:p>
    <w:p w14:paraId="109C6118">
      <w:pPr>
        <w:pStyle w:val="19"/>
        <w:tabs>
          <w:tab w:val="right" w:leader="dot" w:pos="9344"/>
        </w:tabs>
        <w:rPr>
          <w:rFonts w:asciiTheme="minorHAnsi" w:hAnsiTheme="minorHAnsi" w:eastAsiaTheme="minorEastAsia" w:cstheme="minorBidi"/>
          <w:szCs w:val="22"/>
        </w:rPr>
      </w:pPr>
      <w:r>
        <w:fldChar w:fldCharType="begin"/>
      </w:r>
      <w:r>
        <w:instrText xml:space="preserve"> HYPERLINK \l "_Toc195604833" </w:instrText>
      </w:r>
      <w:r>
        <w:fldChar w:fldCharType="separate"/>
      </w:r>
      <w:r>
        <w:rPr>
          <w:rStyle w:val="32"/>
        </w:rPr>
        <w:t xml:space="preserve">6 </w:t>
      </w:r>
      <w:r>
        <w:rPr>
          <w:rStyle w:val="32"/>
          <w:rFonts w:hint="eastAsia"/>
        </w:rPr>
        <w:t xml:space="preserve"> 蹄部修整</w:t>
      </w:r>
      <w:r>
        <w:tab/>
      </w:r>
      <w:r>
        <w:fldChar w:fldCharType="begin"/>
      </w:r>
      <w:r>
        <w:instrText xml:space="preserve"> PAGEREF _Toc195604833 \h </w:instrText>
      </w:r>
      <w:r>
        <w:fldChar w:fldCharType="separate"/>
      </w:r>
      <w:r>
        <w:t>3</w:t>
      </w:r>
      <w:r>
        <w:fldChar w:fldCharType="end"/>
      </w:r>
      <w:r>
        <w:fldChar w:fldCharType="end"/>
      </w:r>
    </w:p>
    <w:p w14:paraId="0DABFBAA">
      <w:pPr>
        <w:pStyle w:val="24"/>
        <w:rPr>
          <w:rFonts w:asciiTheme="minorHAnsi" w:hAnsiTheme="minorHAnsi" w:eastAsiaTheme="minorEastAsia" w:cstheme="minorBidi"/>
          <w:szCs w:val="22"/>
        </w:rPr>
      </w:pPr>
      <w:r>
        <w:fldChar w:fldCharType="begin"/>
      </w:r>
      <w:r>
        <w:instrText xml:space="preserve"> HYPERLINK \l "_Toc195604834" </w:instrText>
      </w:r>
      <w:r>
        <w:fldChar w:fldCharType="separate"/>
      </w:r>
      <w:r>
        <w:rPr>
          <w:rStyle w:val="32"/>
          <w14:scene3d>
            <w14:lightRig w14:rig="threePt" w14:dir="t">
              <w14:rot w14:lat="0" w14:lon="0" w14:rev="0"/>
            </w14:lightRig>
          </w14:scene3d>
        </w:rPr>
        <w:t xml:space="preserve">6.1 </w:t>
      </w:r>
      <w:r>
        <w:rPr>
          <w:rStyle w:val="32"/>
          <w:rFonts w:hint="eastAsia"/>
        </w:rPr>
        <w:t xml:space="preserve"> 人员设备准备</w:t>
      </w:r>
      <w:r>
        <w:tab/>
      </w:r>
      <w:r>
        <w:fldChar w:fldCharType="begin"/>
      </w:r>
      <w:r>
        <w:instrText xml:space="preserve"> PAGEREF _Toc195604834 \h </w:instrText>
      </w:r>
      <w:r>
        <w:fldChar w:fldCharType="separate"/>
      </w:r>
      <w:r>
        <w:t>3</w:t>
      </w:r>
      <w:r>
        <w:fldChar w:fldCharType="end"/>
      </w:r>
      <w:r>
        <w:fldChar w:fldCharType="end"/>
      </w:r>
    </w:p>
    <w:p w14:paraId="3C21652A">
      <w:pPr>
        <w:pStyle w:val="24"/>
        <w:rPr>
          <w:rFonts w:asciiTheme="minorHAnsi" w:hAnsiTheme="minorHAnsi" w:eastAsiaTheme="minorEastAsia" w:cstheme="minorBidi"/>
          <w:szCs w:val="22"/>
        </w:rPr>
      </w:pPr>
      <w:r>
        <w:fldChar w:fldCharType="begin"/>
      </w:r>
      <w:r>
        <w:instrText xml:space="preserve"> HYPERLINK \l "_Toc195604835" </w:instrText>
      </w:r>
      <w:r>
        <w:fldChar w:fldCharType="separate"/>
      </w:r>
      <w:r>
        <w:rPr>
          <w:rStyle w:val="32"/>
          <w14:scene3d>
            <w14:lightRig w14:rig="threePt" w14:dir="t">
              <w14:rot w14:lat="0" w14:lon="0" w14:rev="0"/>
            </w14:lightRig>
          </w14:scene3d>
        </w:rPr>
        <w:t xml:space="preserve">6.2 </w:t>
      </w:r>
      <w:r>
        <w:rPr>
          <w:rStyle w:val="32"/>
          <w:rFonts w:hint="eastAsia"/>
        </w:rPr>
        <w:t xml:space="preserve"> 修蹄场区</w:t>
      </w:r>
      <w:r>
        <w:tab/>
      </w:r>
      <w:r>
        <w:fldChar w:fldCharType="begin"/>
      </w:r>
      <w:r>
        <w:instrText xml:space="preserve"> PAGEREF _Toc195604835 \h </w:instrText>
      </w:r>
      <w:r>
        <w:fldChar w:fldCharType="separate"/>
      </w:r>
      <w:r>
        <w:t>3</w:t>
      </w:r>
      <w:r>
        <w:fldChar w:fldCharType="end"/>
      </w:r>
      <w:r>
        <w:fldChar w:fldCharType="end"/>
      </w:r>
    </w:p>
    <w:p w14:paraId="242923BB">
      <w:pPr>
        <w:pStyle w:val="24"/>
        <w:rPr>
          <w:rFonts w:asciiTheme="minorHAnsi" w:hAnsiTheme="minorHAnsi" w:eastAsiaTheme="minorEastAsia" w:cstheme="minorBidi"/>
          <w:szCs w:val="22"/>
        </w:rPr>
      </w:pPr>
      <w:r>
        <w:fldChar w:fldCharType="begin"/>
      </w:r>
      <w:r>
        <w:instrText xml:space="preserve"> HYPERLINK \l "_Toc195604836" </w:instrText>
      </w:r>
      <w:r>
        <w:fldChar w:fldCharType="separate"/>
      </w:r>
      <w:r>
        <w:rPr>
          <w:rStyle w:val="32"/>
          <w14:scene3d>
            <w14:lightRig w14:rig="threePt" w14:dir="t">
              <w14:rot w14:lat="0" w14:lon="0" w14:rev="0"/>
            </w14:lightRig>
          </w14:scene3d>
        </w:rPr>
        <w:t xml:space="preserve">6.3 </w:t>
      </w:r>
      <w:r>
        <w:rPr>
          <w:rStyle w:val="32"/>
          <w:rFonts w:hint="eastAsia"/>
        </w:rPr>
        <w:t xml:space="preserve"> 修整方法</w:t>
      </w:r>
      <w:r>
        <w:tab/>
      </w:r>
      <w:r>
        <w:fldChar w:fldCharType="begin"/>
      </w:r>
      <w:r>
        <w:instrText xml:space="preserve"> PAGEREF _Toc195604836 \h </w:instrText>
      </w:r>
      <w:r>
        <w:fldChar w:fldCharType="separate"/>
      </w:r>
      <w:r>
        <w:t>4</w:t>
      </w:r>
      <w:r>
        <w:fldChar w:fldCharType="end"/>
      </w:r>
      <w:r>
        <w:fldChar w:fldCharType="end"/>
      </w:r>
    </w:p>
    <w:p w14:paraId="41D48900">
      <w:pPr>
        <w:pStyle w:val="24"/>
        <w:rPr>
          <w:rFonts w:asciiTheme="minorHAnsi" w:hAnsiTheme="minorHAnsi" w:eastAsiaTheme="minorEastAsia" w:cstheme="minorBidi"/>
          <w:szCs w:val="22"/>
        </w:rPr>
      </w:pPr>
      <w:r>
        <w:fldChar w:fldCharType="begin"/>
      </w:r>
      <w:r>
        <w:instrText xml:space="preserve"> HYPERLINK \l "_Toc195604838" </w:instrText>
      </w:r>
      <w:r>
        <w:fldChar w:fldCharType="separate"/>
      </w:r>
      <w:r>
        <w:rPr>
          <w:rStyle w:val="32"/>
          <w14:scene3d>
            <w14:lightRig w14:rig="threePt" w14:dir="t">
              <w14:rot w14:lat="0" w14:lon="0" w14:rev="0"/>
            </w14:lightRig>
          </w14:scene3d>
        </w:rPr>
        <w:t xml:space="preserve">6.4 </w:t>
      </w:r>
      <w:r>
        <w:rPr>
          <w:rStyle w:val="32"/>
          <w:rFonts w:hint="eastAsia"/>
        </w:rPr>
        <w:t xml:space="preserve"> 普修与次数</w:t>
      </w:r>
      <w:r>
        <w:tab/>
      </w:r>
      <w:r>
        <w:fldChar w:fldCharType="begin"/>
      </w:r>
      <w:r>
        <w:instrText xml:space="preserve"> PAGEREF _Toc195604838 \h </w:instrText>
      </w:r>
      <w:r>
        <w:fldChar w:fldCharType="separate"/>
      </w:r>
      <w:r>
        <w:t>4</w:t>
      </w:r>
      <w:r>
        <w:fldChar w:fldCharType="end"/>
      </w:r>
      <w:r>
        <w:fldChar w:fldCharType="end"/>
      </w:r>
    </w:p>
    <w:p w14:paraId="6760F6F8">
      <w:pPr>
        <w:pStyle w:val="24"/>
        <w:rPr>
          <w:rFonts w:asciiTheme="minorHAnsi" w:hAnsiTheme="minorHAnsi" w:eastAsiaTheme="minorEastAsia" w:cstheme="minorBidi"/>
          <w:szCs w:val="22"/>
        </w:rPr>
      </w:pPr>
      <w:r>
        <w:fldChar w:fldCharType="begin"/>
      </w:r>
      <w:r>
        <w:instrText xml:space="preserve"> HYPERLINK \l "_Toc195604839" </w:instrText>
      </w:r>
      <w:r>
        <w:fldChar w:fldCharType="separate"/>
      </w:r>
      <w:r>
        <w:rPr>
          <w:rStyle w:val="32"/>
          <w14:scene3d>
            <w14:lightRig w14:rig="threePt" w14:dir="t">
              <w14:rot w14:lat="0" w14:lon="0" w14:rev="0"/>
            </w14:lightRig>
          </w14:scene3d>
        </w:rPr>
        <w:t xml:space="preserve">6.5 </w:t>
      </w:r>
      <w:r>
        <w:rPr>
          <w:rStyle w:val="32"/>
          <w:rFonts w:hint="eastAsia"/>
        </w:rPr>
        <w:t xml:space="preserve"> 操作</w:t>
      </w:r>
      <w:r>
        <w:tab/>
      </w:r>
      <w:r>
        <w:fldChar w:fldCharType="begin"/>
      </w:r>
      <w:r>
        <w:instrText xml:space="preserve"> PAGEREF _Toc195604839 \h </w:instrText>
      </w:r>
      <w:r>
        <w:fldChar w:fldCharType="separate"/>
      </w:r>
      <w:r>
        <w:t>4</w:t>
      </w:r>
      <w:r>
        <w:fldChar w:fldCharType="end"/>
      </w:r>
      <w:r>
        <w:fldChar w:fldCharType="end"/>
      </w:r>
    </w:p>
    <w:p w14:paraId="1762AB34">
      <w:pPr>
        <w:pStyle w:val="19"/>
        <w:tabs>
          <w:tab w:val="right" w:leader="dot" w:pos="9344"/>
        </w:tabs>
        <w:rPr>
          <w:rFonts w:asciiTheme="minorHAnsi" w:hAnsiTheme="minorHAnsi" w:eastAsiaTheme="minorEastAsia" w:cstheme="minorBidi"/>
          <w:szCs w:val="22"/>
        </w:rPr>
      </w:pPr>
      <w:r>
        <w:fldChar w:fldCharType="begin"/>
      </w:r>
      <w:r>
        <w:instrText xml:space="preserve"> HYPERLINK \l "_Toc195604840" </w:instrText>
      </w:r>
      <w:r>
        <w:fldChar w:fldCharType="separate"/>
      </w:r>
      <w:r>
        <w:rPr>
          <w:rStyle w:val="32"/>
        </w:rPr>
        <w:t xml:space="preserve">7 </w:t>
      </w:r>
      <w:r>
        <w:rPr>
          <w:rStyle w:val="32"/>
          <w:rFonts w:hint="eastAsia"/>
        </w:rPr>
        <w:t xml:space="preserve"> 常见蹄病处理</w:t>
      </w:r>
      <w:r>
        <w:tab/>
      </w:r>
      <w:r>
        <w:fldChar w:fldCharType="begin"/>
      </w:r>
      <w:r>
        <w:instrText xml:space="preserve"> PAGEREF _Toc195604840 \h </w:instrText>
      </w:r>
      <w:r>
        <w:fldChar w:fldCharType="separate"/>
      </w:r>
      <w:r>
        <w:t>5</w:t>
      </w:r>
      <w:r>
        <w:fldChar w:fldCharType="end"/>
      </w:r>
      <w:r>
        <w:fldChar w:fldCharType="end"/>
      </w:r>
    </w:p>
    <w:p w14:paraId="74CA35F7">
      <w:pPr>
        <w:pStyle w:val="24"/>
        <w:rPr>
          <w:rFonts w:asciiTheme="minorHAnsi" w:hAnsiTheme="minorHAnsi" w:eastAsiaTheme="minorEastAsia" w:cstheme="minorBidi"/>
          <w:szCs w:val="22"/>
        </w:rPr>
      </w:pPr>
      <w:r>
        <w:fldChar w:fldCharType="begin"/>
      </w:r>
      <w:r>
        <w:instrText xml:space="preserve"> HYPERLINK \l "_Toc195604841" </w:instrText>
      </w:r>
      <w:r>
        <w:fldChar w:fldCharType="separate"/>
      </w:r>
      <w:r>
        <w:rPr>
          <w:rStyle w:val="32"/>
          <w14:scene3d>
            <w14:lightRig w14:rig="threePt" w14:dir="t">
              <w14:rot w14:lat="0" w14:lon="0" w14:rev="0"/>
            </w14:lightRig>
          </w14:scene3d>
        </w:rPr>
        <w:t xml:space="preserve">7.1 </w:t>
      </w:r>
      <w:r>
        <w:rPr>
          <w:rStyle w:val="32"/>
          <w:rFonts w:hint="eastAsia"/>
        </w:rPr>
        <w:t xml:space="preserve"> 非感染性蹄病</w:t>
      </w:r>
      <w:r>
        <w:tab/>
      </w:r>
      <w:r>
        <w:fldChar w:fldCharType="begin"/>
      </w:r>
      <w:r>
        <w:instrText xml:space="preserve"> PAGEREF _Toc195604841 \h </w:instrText>
      </w:r>
      <w:r>
        <w:fldChar w:fldCharType="separate"/>
      </w:r>
      <w:r>
        <w:t>5</w:t>
      </w:r>
      <w:r>
        <w:fldChar w:fldCharType="end"/>
      </w:r>
      <w:r>
        <w:fldChar w:fldCharType="end"/>
      </w:r>
    </w:p>
    <w:p w14:paraId="4D6E17CD">
      <w:pPr>
        <w:pStyle w:val="24"/>
        <w:rPr>
          <w:rFonts w:asciiTheme="minorHAnsi" w:hAnsiTheme="minorHAnsi" w:eastAsiaTheme="minorEastAsia" w:cstheme="minorBidi"/>
          <w:szCs w:val="22"/>
        </w:rPr>
      </w:pPr>
      <w:r>
        <w:fldChar w:fldCharType="begin"/>
      </w:r>
      <w:r>
        <w:instrText xml:space="preserve"> HYPERLINK \l "_Toc195604842" </w:instrText>
      </w:r>
      <w:r>
        <w:fldChar w:fldCharType="separate"/>
      </w:r>
      <w:r>
        <w:rPr>
          <w:rStyle w:val="32"/>
          <w14:scene3d>
            <w14:lightRig w14:rig="threePt" w14:dir="t">
              <w14:rot w14:lat="0" w14:lon="0" w14:rev="0"/>
            </w14:lightRig>
          </w14:scene3d>
        </w:rPr>
        <w:t xml:space="preserve">7.2 </w:t>
      </w:r>
      <w:r>
        <w:rPr>
          <w:rStyle w:val="32"/>
          <w:rFonts w:hint="eastAsia"/>
        </w:rPr>
        <w:t xml:space="preserve"> 感染性蹄病</w:t>
      </w:r>
      <w:r>
        <w:tab/>
      </w:r>
      <w:r>
        <w:fldChar w:fldCharType="begin"/>
      </w:r>
      <w:r>
        <w:instrText xml:space="preserve"> PAGEREF _Toc195604842 \h </w:instrText>
      </w:r>
      <w:r>
        <w:fldChar w:fldCharType="separate"/>
      </w:r>
      <w:r>
        <w:t>5</w:t>
      </w:r>
      <w:r>
        <w:fldChar w:fldCharType="end"/>
      </w:r>
      <w:r>
        <w:fldChar w:fldCharType="end"/>
      </w:r>
    </w:p>
    <w:p w14:paraId="2A65F9D2">
      <w:pPr>
        <w:pStyle w:val="19"/>
        <w:tabs>
          <w:tab w:val="right" w:leader="dot" w:pos="9344"/>
        </w:tabs>
        <w:rPr>
          <w:rFonts w:asciiTheme="minorHAnsi" w:hAnsiTheme="minorHAnsi" w:eastAsiaTheme="minorEastAsia" w:cstheme="minorBidi"/>
          <w:szCs w:val="22"/>
        </w:rPr>
      </w:pPr>
      <w:r>
        <w:fldChar w:fldCharType="begin"/>
      </w:r>
      <w:r>
        <w:instrText xml:space="preserve"> HYPERLINK \l "_Toc195604843" </w:instrText>
      </w:r>
      <w:r>
        <w:fldChar w:fldCharType="separate"/>
      </w:r>
      <w:r>
        <w:rPr>
          <w:rStyle w:val="32"/>
        </w:rPr>
        <w:t xml:space="preserve">8 </w:t>
      </w:r>
      <w:r>
        <w:rPr>
          <w:rStyle w:val="32"/>
          <w:rFonts w:hint="eastAsia"/>
        </w:rPr>
        <w:t xml:space="preserve"> 蹄部保健记录</w:t>
      </w:r>
      <w:r>
        <w:tab/>
      </w:r>
      <w:r>
        <w:fldChar w:fldCharType="begin"/>
      </w:r>
      <w:r>
        <w:instrText xml:space="preserve"> PAGEREF _Toc195604843 \h </w:instrText>
      </w:r>
      <w:r>
        <w:fldChar w:fldCharType="separate"/>
      </w:r>
      <w:r>
        <w:t>5</w:t>
      </w:r>
      <w:r>
        <w:fldChar w:fldCharType="end"/>
      </w:r>
      <w:r>
        <w:fldChar w:fldCharType="end"/>
      </w:r>
    </w:p>
    <w:p w14:paraId="1B3AB336">
      <w:pPr>
        <w:pStyle w:val="24"/>
        <w:rPr>
          <w:rFonts w:asciiTheme="minorHAnsi" w:hAnsiTheme="minorHAnsi" w:eastAsiaTheme="minorEastAsia" w:cstheme="minorBidi"/>
          <w:szCs w:val="22"/>
        </w:rPr>
      </w:pPr>
      <w:r>
        <w:fldChar w:fldCharType="begin"/>
      </w:r>
      <w:r>
        <w:instrText xml:space="preserve"> HYPERLINK \l "_Toc195604844" </w:instrText>
      </w:r>
      <w:r>
        <w:fldChar w:fldCharType="separate"/>
      </w:r>
      <w:r>
        <w:rPr>
          <w:rStyle w:val="32"/>
          <w14:scene3d>
            <w14:lightRig w14:rig="threePt" w14:dir="t">
              <w14:rot w14:lat="0" w14:lon="0" w14:rev="0"/>
            </w14:lightRig>
          </w14:scene3d>
        </w:rPr>
        <w:t xml:space="preserve">8.1 </w:t>
      </w:r>
      <w:r>
        <w:rPr>
          <w:rStyle w:val="32"/>
          <w:rFonts w:hint="eastAsia"/>
        </w:rPr>
        <w:t xml:space="preserve"> 蹄部发生情况记录</w:t>
      </w:r>
      <w:r>
        <w:tab/>
      </w:r>
      <w:r>
        <w:fldChar w:fldCharType="begin"/>
      </w:r>
      <w:r>
        <w:instrText xml:space="preserve"> PAGEREF _Toc195604844 \h </w:instrText>
      </w:r>
      <w:r>
        <w:fldChar w:fldCharType="separate"/>
      </w:r>
      <w:r>
        <w:t>5</w:t>
      </w:r>
      <w:r>
        <w:fldChar w:fldCharType="end"/>
      </w:r>
      <w:r>
        <w:fldChar w:fldCharType="end"/>
      </w:r>
    </w:p>
    <w:p w14:paraId="59256315">
      <w:pPr>
        <w:pStyle w:val="24"/>
        <w:rPr>
          <w:rFonts w:asciiTheme="minorHAnsi" w:hAnsiTheme="minorHAnsi" w:eastAsiaTheme="minorEastAsia" w:cstheme="minorBidi"/>
          <w:szCs w:val="22"/>
        </w:rPr>
      </w:pPr>
      <w:r>
        <w:fldChar w:fldCharType="begin"/>
      </w:r>
      <w:r>
        <w:instrText xml:space="preserve"> HYPERLINK \l "_Toc195604845" </w:instrText>
      </w:r>
      <w:r>
        <w:fldChar w:fldCharType="separate"/>
      </w:r>
      <w:r>
        <w:rPr>
          <w:rStyle w:val="32"/>
          <w14:scene3d>
            <w14:lightRig w14:rig="threePt" w14:dir="t">
              <w14:rot w14:lat="0" w14:lon="0" w14:rev="0"/>
            </w14:lightRig>
          </w14:scene3d>
        </w:rPr>
        <w:t xml:space="preserve">8.2 </w:t>
      </w:r>
      <w:r>
        <w:rPr>
          <w:rStyle w:val="32"/>
          <w:rFonts w:hint="eastAsia"/>
        </w:rPr>
        <w:t xml:space="preserve"> 蹄部修整记录</w:t>
      </w:r>
      <w:r>
        <w:tab/>
      </w:r>
      <w:r>
        <w:fldChar w:fldCharType="begin"/>
      </w:r>
      <w:r>
        <w:instrText xml:space="preserve"> PAGEREF _Toc195604845 \h </w:instrText>
      </w:r>
      <w:r>
        <w:fldChar w:fldCharType="separate"/>
      </w:r>
      <w:r>
        <w:t>5</w:t>
      </w:r>
      <w:r>
        <w:fldChar w:fldCharType="end"/>
      </w:r>
      <w:r>
        <w:fldChar w:fldCharType="end"/>
      </w:r>
    </w:p>
    <w:p w14:paraId="42B85445">
      <w:pPr>
        <w:pStyle w:val="19"/>
        <w:tabs>
          <w:tab w:val="right" w:leader="dot" w:pos="9344"/>
        </w:tabs>
        <w:rPr>
          <w:rFonts w:asciiTheme="minorHAnsi" w:hAnsiTheme="minorHAnsi" w:eastAsiaTheme="minorEastAsia" w:cstheme="minorBidi"/>
          <w:szCs w:val="22"/>
        </w:rPr>
      </w:pPr>
      <w:r>
        <w:fldChar w:fldCharType="begin"/>
      </w:r>
      <w:r>
        <w:instrText xml:space="preserve"> HYPERLINK \l "_Toc195604846" </w:instrText>
      </w:r>
      <w:r>
        <w:fldChar w:fldCharType="separate"/>
      </w:r>
      <w:r>
        <w:rPr>
          <w:rStyle w:val="32"/>
          <w:rFonts w:hint="eastAsia"/>
        </w:rPr>
        <w:t>附录A（资料性）</w:t>
      </w:r>
      <w:r>
        <w:rPr>
          <w:rStyle w:val="32"/>
        </w:rPr>
        <w:t xml:space="preserve"> </w:t>
      </w:r>
      <w:r>
        <w:tab/>
      </w:r>
      <w:r>
        <w:fldChar w:fldCharType="begin"/>
      </w:r>
      <w:r>
        <w:instrText xml:space="preserve"> PAGEREF _Toc195604846 \h </w:instrText>
      </w:r>
      <w:r>
        <w:fldChar w:fldCharType="separate"/>
      </w:r>
      <w:r>
        <w:t>6</w:t>
      </w:r>
      <w:r>
        <w:fldChar w:fldCharType="end"/>
      </w:r>
      <w:r>
        <w:fldChar w:fldCharType="end"/>
      </w:r>
    </w:p>
    <w:p w14:paraId="561ADF72">
      <w:pPr>
        <w:pStyle w:val="19"/>
        <w:tabs>
          <w:tab w:val="right" w:leader="dot" w:pos="9344"/>
        </w:tabs>
        <w:rPr>
          <w:rFonts w:asciiTheme="minorHAnsi" w:hAnsiTheme="minorHAnsi" w:eastAsiaTheme="minorEastAsia" w:cstheme="minorBidi"/>
          <w:szCs w:val="22"/>
        </w:rPr>
      </w:pPr>
      <w:r>
        <w:fldChar w:fldCharType="begin"/>
      </w:r>
      <w:r>
        <w:instrText xml:space="preserve"> HYPERLINK \l "_Toc195604847" </w:instrText>
      </w:r>
      <w:r>
        <w:fldChar w:fldCharType="separate"/>
      </w:r>
      <w:r>
        <w:rPr>
          <w:rStyle w:val="32"/>
          <w:rFonts w:hint="eastAsia"/>
        </w:rPr>
        <w:t>附录B（资料性）</w:t>
      </w:r>
      <w:r>
        <w:rPr>
          <w:rStyle w:val="32"/>
        </w:rPr>
        <w:t xml:space="preserve">  </w:t>
      </w:r>
      <w:r>
        <w:rPr>
          <w:rStyle w:val="32"/>
          <w:rFonts w:hint="eastAsia"/>
        </w:rPr>
        <w:t>修蹄记录</w:t>
      </w:r>
      <w:r>
        <w:tab/>
      </w:r>
      <w:r>
        <w:fldChar w:fldCharType="begin"/>
      </w:r>
      <w:r>
        <w:instrText xml:space="preserve"> PAGEREF _Toc195604847 \h </w:instrText>
      </w:r>
      <w:r>
        <w:fldChar w:fldCharType="separate"/>
      </w:r>
      <w:r>
        <w:t>7</w:t>
      </w:r>
      <w:r>
        <w:fldChar w:fldCharType="end"/>
      </w:r>
      <w:r>
        <w:fldChar w:fldCharType="end"/>
      </w:r>
    </w:p>
    <w:p w14:paraId="19E856C1">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1A627143">
      <w:pPr>
        <w:pStyle w:val="89"/>
        <w:spacing w:after="468"/>
      </w:pPr>
      <w:bookmarkStart w:id="23" w:name="_Toc195604820"/>
      <w:bookmarkStart w:id="24" w:name="BookMark2"/>
      <w:r>
        <w:rPr>
          <w:spacing w:val="320"/>
        </w:rPr>
        <w:t>前</w:t>
      </w:r>
      <w:r>
        <w:t>言</w:t>
      </w:r>
      <w:bookmarkEnd w:id="22"/>
      <w:bookmarkEnd w:id="23"/>
    </w:p>
    <w:p w14:paraId="44099315">
      <w:pPr>
        <w:pStyle w:val="56"/>
        <w:ind w:firstLine="420"/>
      </w:pPr>
      <w:r>
        <w:rPr>
          <w:rFonts w:hint="eastAsia"/>
        </w:rPr>
        <w:t>本文件按照GB/T 1.1—2020《标准化工作导则  第1部分：标准化文件的结构和起草规则》的规定起草。</w:t>
      </w:r>
    </w:p>
    <w:p w14:paraId="49D6905E">
      <w:pPr>
        <w:pStyle w:val="56"/>
        <w:ind w:firstLine="420"/>
      </w:pPr>
      <w:r>
        <w:rPr>
          <w:rFonts w:hint="eastAsia"/>
        </w:rPr>
        <w:t>本文件由南阳市农业农村局提出并归口。</w:t>
      </w:r>
    </w:p>
    <w:p w14:paraId="61F7D062">
      <w:pPr>
        <w:pStyle w:val="56"/>
        <w:ind w:firstLine="420"/>
      </w:pPr>
      <w:r>
        <w:rPr>
          <w:rFonts w:hint="eastAsia"/>
        </w:rPr>
        <w:t>本文件起草单位：南阳农业职业学院牧医工程学院、 唐河县畜牧发展中心、南阳市卧龙区动物疫病预防控制和检疫中心、镇平县产品质量检验检测中心、新野县畜牧发展中心、唐河县农业综合行政执法大队、开封市顺河回族区农业农村局、南阳市畜牧发展中心、唐河县临港街道办事处、唐河县动物卫生监督所、唐河县源潭镇人民政府、镇平县动物检疫站、方城县动物疫病预防控制中心、宛城区畜牧发展中心、南阳市农业综合执法支队</w:t>
      </w:r>
    </w:p>
    <w:p w14:paraId="5A3960FB">
      <w:pPr>
        <w:pStyle w:val="56"/>
        <w:ind w:firstLine="420" w:firstLineChars="200"/>
      </w:pPr>
      <w:r>
        <w:rPr>
          <w:rFonts w:hint="eastAsia"/>
        </w:rPr>
        <w:t>本文件主要起草人：杜书增、韩章莲、崔付敏、张洪文、段俊英、魏 记、王继振、朱漫慧、李 丽、</w:t>
      </w:r>
    </w:p>
    <w:p w14:paraId="7E3F544C">
      <w:pPr>
        <w:pStyle w:val="56"/>
        <w:ind w:firstLine="0" w:firstLineChars="0"/>
        <w:sectPr>
          <w:pgSz w:w="11906" w:h="16838"/>
          <w:pgMar w:top="1928" w:right="1134" w:bottom="1134" w:left="1134" w:header="1418" w:footer="1134" w:gutter="284"/>
          <w:pgNumType w:fmt="upperRoman"/>
          <w:cols w:space="425" w:num="1"/>
          <w:formProt w:val="0"/>
          <w:docGrid w:type="lines" w:linePitch="312" w:charSpace="0"/>
        </w:sectPr>
      </w:pPr>
      <w:r>
        <w:rPr>
          <w:rFonts w:hint="eastAsia"/>
        </w:rPr>
        <w:t>靖建涛、曲丽仪、郭闪闪、郭 娜、</w:t>
      </w:r>
      <w:bookmarkStart w:id="99" w:name="_GoBack"/>
      <w:bookmarkEnd w:id="99"/>
      <w:r>
        <w:rPr>
          <w:rFonts w:hint="eastAsia"/>
        </w:rPr>
        <w:t>孙龙飞、吕 平、侯毅冉、刘 烨、张自龙、顾鲲涛、王 沛、齐波晓。</w:t>
      </w:r>
    </w:p>
    <w:bookmarkEnd w:id="24"/>
    <w:p w14:paraId="75D0D61D">
      <w:pPr>
        <w:spacing w:line="20" w:lineRule="exact"/>
        <w:jc w:val="center"/>
        <w:rPr>
          <w:rFonts w:ascii="黑体" w:hAnsi="黑体" w:eastAsia="黑体"/>
          <w:sz w:val="32"/>
          <w:szCs w:val="32"/>
        </w:rPr>
      </w:pPr>
      <w:bookmarkStart w:id="25" w:name="BookMark4"/>
    </w:p>
    <w:p w14:paraId="6FF2D3B4">
      <w:pPr>
        <w:spacing w:line="20" w:lineRule="exact"/>
        <w:jc w:val="center"/>
        <w:rPr>
          <w:rFonts w:ascii="黑体" w:hAnsi="黑体" w:eastAsia="黑体"/>
          <w:sz w:val="32"/>
          <w:szCs w:val="32"/>
        </w:rPr>
      </w:pPr>
    </w:p>
    <w:sdt>
      <w:sdtPr>
        <w:tag w:val="NEW_STAND_NAME"/>
        <w:id w:val="595910757"/>
        <w:lock w:val="sdtLocked"/>
        <w:placeholder>
          <w:docPart w:val="B909EC9F6A214250B78109A46FB14018"/>
        </w:placeholder>
      </w:sdtPr>
      <w:sdtContent>
        <w:p w14:paraId="678A4D35">
          <w:pPr>
            <w:pStyle w:val="177"/>
            <w:spacing w:before="312" w:beforeLines="100" w:after="686" w:afterLines="220"/>
          </w:pPr>
          <w:bookmarkStart w:id="26" w:name="NEW_STAND_NAME"/>
          <w:r>
            <w:rPr>
              <w:rFonts w:hint="eastAsia"/>
            </w:rPr>
            <w:t>肉、奶牛蹄部保健技术规范</w:t>
          </w:r>
        </w:p>
      </w:sdtContent>
    </w:sdt>
    <w:bookmarkEnd w:id="26"/>
    <w:p w14:paraId="1AA9AD5D">
      <w:pPr>
        <w:pStyle w:val="104"/>
        <w:spacing w:before="312" w:after="312"/>
      </w:pPr>
      <w:bookmarkStart w:id="27" w:name="_Toc26648465"/>
      <w:bookmarkStart w:id="28" w:name="_Toc17233325"/>
      <w:bookmarkStart w:id="29" w:name="_Toc97191423"/>
      <w:bookmarkStart w:id="30" w:name="_Toc26986771"/>
      <w:bookmarkStart w:id="31" w:name="_Toc17233333"/>
      <w:bookmarkStart w:id="32" w:name="_Toc24884211"/>
      <w:bookmarkStart w:id="33" w:name="_Toc26718930"/>
      <w:bookmarkStart w:id="34" w:name="_Toc183597950"/>
      <w:bookmarkStart w:id="35" w:name="_Toc26986530"/>
      <w:bookmarkStart w:id="36" w:name="_Toc195604821"/>
      <w:bookmarkStart w:id="37" w:name="_Toc24884218"/>
      <w:r>
        <w:rPr>
          <w:rFonts w:hint="eastAsia"/>
        </w:rPr>
        <w:t>范围</w:t>
      </w:r>
      <w:bookmarkEnd w:id="27"/>
      <w:bookmarkEnd w:id="28"/>
      <w:bookmarkEnd w:id="29"/>
      <w:bookmarkEnd w:id="30"/>
      <w:bookmarkEnd w:id="31"/>
      <w:bookmarkEnd w:id="32"/>
      <w:bookmarkEnd w:id="33"/>
      <w:bookmarkEnd w:id="34"/>
      <w:bookmarkEnd w:id="35"/>
      <w:bookmarkEnd w:id="36"/>
      <w:bookmarkEnd w:id="37"/>
    </w:p>
    <w:p w14:paraId="71677CFD">
      <w:pPr>
        <w:pStyle w:val="56"/>
        <w:ind w:firstLine="420"/>
      </w:pPr>
      <w:bookmarkStart w:id="38" w:name="_Toc24884219"/>
      <w:bookmarkStart w:id="39" w:name="_Toc17233326"/>
      <w:bookmarkStart w:id="40" w:name="_Toc24884212"/>
      <w:bookmarkStart w:id="41" w:name="_Toc26648466"/>
      <w:bookmarkStart w:id="42" w:name="_Toc17233334"/>
      <w:r>
        <w:rPr>
          <w:rFonts w:hint="eastAsia"/>
        </w:rPr>
        <w:t>本文件规定肉牛奶牛蹄部保健的常规性管理、蹄部药浴、蹄部修整、常见蹄病处理及蹄部保健记录等技术内容。</w:t>
      </w:r>
    </w:p>
    <w:p w14:paraId="212496FD">
      <w:pPr>
        <w:pStyle w:val="56"/>
        <w:ind w:firstLine="420"/>
      </w:pPr>
      <w:r>
        <w:rPr>
          <w:rFonts w:hint="eastAsia"/>
        </w:rPr>
        <w:t>本文件适用于种公牛、奶牛及肉牛的蹄部保健。主要用于规模奶牛场、母牛养殖场、种公牛站和肉牛育肥场等地。</w:t>
      </w:r>
    </w:p>
    <w:p w14:paraId="1D6C9470">
      <w:pPr>
        <w:pStyle w:val="104"/>
        <w:spacing w:before="312" w:after="312"/>
      </w:pPr>
      <w:bookmarkStart w:id="43" w:name="_Toc195604822"/>
      <w:bookmarkStart w:id="44" w:name="_Toc26986531"/>
      <w:bookmarkStart w:id="45" w:name="_Toc26718931"/>
      <w:bookmarkStart w:id="46" w:name="_Toc26986772"/>
      <w:bookmarkStart w:id="47" w:name="_Toc97191424"/>
      <w:bookmarkStart w:id="48" w:name="_Toc183597951"/>
      <w:r>
        <w:rPr>
          <w:rFonts w:hint="eastAsia"/>
        </w:rPr>
        <w:t>规范性引用文件</w:t>
      </w:r>
      <w:bookmarkEnd w:id="38"/>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9EEBD6A86C764D699911E90305196ED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F0EA29B">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580D7E1">
      <w:pPr>
        <w:pStyle w:val="56"/>
        <w:ind w:firstLine="420"/>
      </w:pPr>
      <w:r>
        <w:t>GB13078</w:t>
      </w:r>
      <w:r>
        <w:rPr>
          <w:rFonts w:hint="eastAsia"/>
        </w:rPr>
        <w:t>-2017   饲料卫生标准</w:t>
      </w:r>
    </w:p>
    <w:p w14:paraId="5363768A">
      <w:pPr>
        <w:pStyle w:val="56"/>
        <w:ind w:firstLine="420"/>
      </w:pPr>
      <w:r>
        <w:rPr>
          <w:rFonts w:hint="eastAsia"/>
        </w:rPr>
        <w:t>NY 5027-2008   无公害食品畜禽饮用水水质</w:t>
      </w:r>
    </w:p>
    <w:p w14:paraId="14C547ED">
      <w:pPr>
        <w:pStyle w:val="56"/>
        <w:ind w:firstLine="420"/>
      </w:pPr>
      <w:r>
        <w:rPr>
          <w:rFonts w:hint="eastAsia"/>
        </w:rPr>
        <w:t xml:space="preserve">NY/T 2663-2014 标准化养殖场 肉牛 </w:t>
      </w:r>
    </w:p>
    <w:p w14:paraId="14E74784">
      <w:pPr>
        <w:pStyle w:val="56"/>
        <w:ind w:firstLine="420"/>
      </w:pPr>
      <w:r>
        <w:rPr>
          <w:rFonts w:hint="eastAsia"/>
        </w:rPr>
        <w:t xml:space="preserve">NY/T 815-2004  肉牛饲养标准 </w:t>
      </w:r>
    </w:p>
    <w:p w14:paraId="786C0779">
      <w:pPr>
        <w:pStyle w:val="56"/>
        <w:ind w:firstLine="420"/>
      </w:pPr>
      <w:r>
        <w:t>NY/T 34</w:t>
      </w:r>
      <w:r>
        <w:rPr>
          <w:rFonts w:hint="eastAsia"/>
        </w:rPr>
        <w:t>-2004   奶牛饲养标准</w:t>
      </w:r>
    </w:p>
    <w:p w14:paraId="6BCAB550">
      <w:pPr>
        <w:pStyle w:val="56"/>
        <w:ind w:firstLine="420"/>
      </w:pPr>
      <w:r>
        <w:rPr>
          <w:rFonts w:hint="eastAsia"/>
        </w:rPr>
        <w:t xml:space="preserve">NY/T 1446-2007 种公牛饲养管理技术规程 </w:t>
      </w:r>
    </w:p>
    <w:p w14:paraId="42A20264">
      <w:pPr>
        <w:pStyle w:val="56"/>
        <w:ind w:firstLine="420"/>
      </w:pPr>
      <w:r>
        <w:rPr>
          <w:rFonts w:hint="eastAsia"/>
        </w:rPr>
        <w:t>NY/T 1167-2006 畜禽场环境质量及卫生控制规范</w:t>
      </w:r>
    </w:p>
    <w:p w14:paraId="08F24F81">
      <w:pPr>
        <w:pStyle w:val="56"/>
        <w:ind w:firstLine="420"/>
      </w:pPr>
      <w:r>
        <w:rPr>
          <w:rFonts w:hint="eastAsia"/>
        </w:rPr>
        <w:t xml:space="preserve">NY/T 3075-2017 畜禽养殖场消毒技术 </w:t>
      </w:r>
    </w:p>
    <w:p w14:paraId="61D53394">
      <w:pPr>
        <w:pStyle w:val="56"/>
        <w:ind w:firstLine="420"/>
      </w:pPr>
      <w:r>
        <w:rPr>
          <w:rFonts w:hint="eastAsia"/>
        </w:rPr>
        <w:t>NY/T 5339-2017 无公害农产品 畜禽防疫准则</w:t>
      </w:r>
    </w:p>
    <w:p w14:paraId="4B017F0E">
      <w:pPr>
        <w:pStyle w:val="104"/>
        <w:spacing w:before="312" w:after="312"/>
      </w:pPr>
      <w:bookmarkStart w:id="49" w:name="_Toc195604823"/>
      <w:bookmarkStart w:id="50" w:name="_Toc97191425"/>
      <w:bookmarkStart w:id="51" w:name="_Toc183597952"/>
      <w:r>
        <w:rPr>
          <w:rFonts w:hint="eastAsia"/>
          <w:szCs w:val="21"/>
        </w:rPr>
        <w:t>术语和定义</w:t>
      </w:r>
      <w:bookmarkEnd w:id="49"/>
      <w:bookmarkEnd w:id="50"/>
      <w:bookmarkEnd w:id="51"/>
    </w:p>
    <w:sdt>
      <w:sdtPr>
        <w:id w:val="-1909835108"/>
        <w:placeholder>
          <w:docPart w:val="11070491A7BD473C816F30037115D0D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FC56968">
          <w:pPr>
            <w:pStyle w:val="56"/>
            <w:ind w:firstLine="420"/>
          </w:pPr>
          <w:bookmarkStart w:id="52" w:name="_Toc26986532"/>
          <w:bookmarkEnd w:id="52"/>
          <w:r>
            <w:t>下列术语和定义适用于本文件。</w:t>
          </w:r>
        </w:p>
      </w:sdtContent>
    </w:sdt>
    <w:p w14:paraId="2C5798B2">
      <w:pPr>
        <w:pStyle w:val="223"/>
        <w:rPr>
          <w:rFonts w:ascii="黑体" w:hAnsi="黑体" w:eastAsia="黑体"/>
        </w:rPr>
      </w:pPr>
      <w:r>
        <w:rPr>
          <w:rFonts w:ascii="黑体" w:hAnsi="黑体" w:eastAsia="黑体"/>
        </w:rPr>
        <w:br w:type="textWrapping"/>
      </w:r>
      <w:r>
        <w:rPr>
          <w:rFonts w:hint="eastAsia" w:ascii="黑体" w:hAnsi="黑体" w:eastAsia="黑体"/>
        </w:rPr>
        <w:t xml:space="preserve">    浴蹄</w:t>
      </w:r>
      <w:r>
        <w:rPr>
          <w:rFonts w:hint="eastAsia" w:ascii="黑体" w:hAnsi="黑体" w:eastAsia="黑体"/>
        </w:rPr>
        <w:tab/>
      </w:r>
      <w:r>
        <w:rPr>
          <w:rFonts w:hint="eastAsia" w:ascii="黑体" w:hAnsi="黑体" w:eastAsia="黑体"/>
        </w:rPr>
        <w:t xml:space="preserve"> </w:t>
      </w:r>
    </w:p>
    <w:p w14:paraId="6BDF5A76">
      <w:pPr>
        <w:pStyle w:val="223"/>
        <w:numPr>
          <w:ilvl w:val="0"/>
          <w:numId w:val="0"/>
        </w:numPr>
        <w:ind w:firstLine="420" w:firstLineChars="200"/>
        <w:rPr>
          <w:rFonts w:hAnsi="宋体"/>
        </w:rPr>
      </w:pPr>
      <w:r>
        <w:rPr>
          <w:rFonts w:hint="eastAsia" w:hAnsi="宋体"/>
        </w:rPr>
        <w:t>通过向牛蹄部喷洒或浸泡浴蹄液，以达到预防、治疗临床蹄病的一种卫生措施。</w:t>
      </w:r>
    </w:p>
    <w:p w14:paraId="598C81F5">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普修</w:t>
      </w:r>
      <w:r>
        <w:rPr>
          <w:rFonts w:hint="eastAsia" w:ascii="黑体" w:hAnsi="黑体" w:eastAsia="黑体"/>
        </w:rPr>
        <w:tab/>
      </w:r>
      <w:r>
        <w:rPr>
          <w:rFonts w:hint="eastAsia" w:ascii="黑体" w:hAnsi="黑体" w:eastAsia="黑体"/>
        </w:rPr>
        <w:t xml:space="preserve"> </w:t>
      </w:r>
    </w:p>
    <w:p w14:paraId="0ABBA70B">
      <w:pPr>
        <w:pStyle w:val="223"/>
        <w:numPr>
          <w:ilvl w:val="0"/>
          <w:numId w:val="0"/>
        </w:numPr>
        <w:ind w:firstLine="420" w:firstLineChars="200"/>
        <w:rPr>
          <w:rFonts w:ascii="黑体" w:hAnsi="黑体" w:eastAsia="黑体"/>
        </w:rPr>
      </w:pPr>
      <w:r>
        <w:rPr>
          <w:rFonts w:hint="eastAsia" w:ascii="Calibri" w:hAnsi="Calibri"/>
          <w:kern w:val="2"/>
          <w:szCs w:val="21"/>
        </w:rPr>
        <w:t>指对牛蹄部进行的基础护理和维护，旨在确保蹄部健康，预防疾病，并维持正常的运动功能</w:t>
      </w:r>
    </w:p>
    <w:p w14:paraId="1377F98C">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蹄底扩创</w:t>
      </w:r>
      <w:r>
        <w:rPr>
          <w:rFonts w:hint="eastAsia" w:ascii="黑体" w:hAnsi="黑体" w:eastAsia="黑体"/>
        </w:rPr>
        <w:tab/>
      </w:r>
      <w:r>
        <w:rPr>
          <w:rFonts w:hint="eastAsia" w:ascii="黑体" w:hAnsi="黑体" w:eastAsia="黑体"/>
        </w:rPr>
        <w:t xml:space="preserve"> </w:t>
      </w:r>
    </w:p>
    <w:p w14:paraId="7D32C27D">
      <w:pPr>
        <w:pStyle w:val="56"/>
        <w:ind w:firstLine="420"/>
      </w:pPr>
      <w:r>
        <w:rPr>
          <w:rFonts w:hint="eastAsia"/>
        </w:rPr>
        <w:t>通过挖削将患蹄会口扩大,以便于清创的治疗方法。</w:t>
      </w:r>
    </w:p>
    <w:p w14:paraId="3E8FE5EA">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无机和有机微量元素</w:t>
      </w:r>
    </w:p>
    <w:p w14:paraId="0AAF8FED">
      <w:pPr>
        <w:pStyle w:val="56"/>
        <w:ind w:firstLine="420"/>
      </w:pPr>
      <w:r>
        <w:rPr>
          <w:rFonts w:hint="eastAsia"/>
        </w:rPr>
        <w:t>通常把来自硫酸亚铁、硫酸锰、硫酸铜、氧化锌、氯化钴、碘化钾、亚硒酸钠等无机化合物的微量元素称为无机微量元素；把来自柠檬酸铁、酵母硒、蛋氨酸铜、氨基酸锰、赖氨酸锌等有机络（螯）合物的微量元素称为有机微量元素。</w:t>
      </w:r>
    </w:p>
    <w:p w14:paraId="09A3C18C">
      <w:pPr>
        <w:pStyle w:val="104"/>
        <w:spacing w:before="312" w:after="312"/>
      </w:pPr>
      <w:bookmarkStart w:id="53" w:name="_Toc195604824"/>
      <w:bookmarkStart w:id="54" w:name="_Toc183597953"/>
      <w:r>
        <w:rPr>
          <w:rFonts w:hint="eastAsia"/>
        </w:rPr>
        <w:t>常规性管理</w:t>
      </w:r>
      <w:bookmarkEnd w:id="53"/>
      <w:bookmarkEnd w:id="54"/>
    </w:p>
    <w:p w14:paraId="6A53898E">
      <w:pPr>
        <w:pStyle w:val="105"/>
        <w:spacing w:before="156" w:after="156"/>
      </w:pPr>
      <w:bookmarkStart w:id="55" w:name="_Toc183597954"/>
      <w:bookmarkStart w:id="56" w:name="_Toc195604825"/>
      <w:r>
        <w:rPr>
          <w:rFonts w:hint="eastAsia"/>
        </w:rPr>
        <w:t>基本要求</w:t>
      </w:r>
      <w:bookmarkEnd w:id="55"/>
      <w:bookmarkEnd w:id="56"/>
    </w:p>
    <w:p w14:paraId="42B864D1">
      <w:pPr>
        <w:pStyle w:val="165"/>
      </w:pPr>
      <w:r>
        <w:rPr>
          <w:rFonts w:hint="eastAsia"/>
        </w:rPr>
        <w:t>场址、布局、生产设施与设备建设要求应符合NY/T2663的规定。</w:t>
      </w:r>
    </w:p>
    <w:p w14:paraId="0C752854">
      <w:pPr>
        <w:pStyle w:val="165"/>
      </w:pPr>
      <w:r>
        <w:rPr>
          <w:rFonts w:hint="eastAsia"/>
        </w:rPr>
        <w:t>牛舍环境应保持干净和干燥；牛舍及运动场设施与设备应完整和合理，以防损伤；卧床应保持舒适度。</w:t>
      </w:r>
    </w:p>
    <w:p w14:paraId="1914CAD4">
      <w:pPr>
        <w:pStyle w:val="165"/>
      </w:pPr>
      <w:r>
        <w:rPr>
          <w:rFonts w:hint="eastAsia"/>
        </w:rPr>
        <w:t>每年对全群牛只蹄部普查2次～3次。</w:t>
      </w:r>
    </w:p>
    <w:p w14:paraId="24FB5C77">
      <w:pPr>
        <w:pStyle w:val="165"/>
      </w:pPr>
      <w:r>
        <w:rPr>
          <w:rFonts w:hint="eastAsia"/>
        </w:rPr>
        <w:t>对蹄部发生病患的牛应及时治疗。</w:t>
      </w:r>
    </w:p>
    <w:p w14:paraId="4D8B731D">
      <w:pPr>
        <w:pStyle w:val="165"/>
      </w:pPr>
      <w:r>
        <w:rPr>
          <w:rFonts w:hint="eastAsia"/>
        </w:rPr>
        <w:t>当蹄部变形严重、蹄病发生率&gt;2%时，应视为群发性问题，及时分析原因并采取相应的防治措施。</w:t>
      </w:r>
    </w:p>
    <w:p w14:paraId="399DCA71">
      <w:pPr>
        <w:pStyle w:val="105"/>
        <w:spacing w:before="156" w:after="156"/>
      </w:pPr>
      <w:bookmarkStart w:id="57" w:name="_Toc183597956"/>
      <w:bookmarkStart w:id="58" w:name="_Toc195604826"/>
      <w:bookmarkStart w:id="59" w:name="_Toc183597955"/>
      <w:r>
        <w:rPr>
          <w:rFonts w:hint="eastAsia"/>
        </w:rPr>
        <w:t>环境</w:t>
      </w:r>
      <w:bookmarkEnd w:id="57"/>
      <w:r>
        <w:rPr>
          <w:rFonts w:hint="eastAsia"/>
        </w:rPr>
        <w:t>卫生控制</w:t>
      </w:r>
      <w:bookmarkEnd w:id="58"/>
    </w:p>
    <w:p w14:paraId="779D3852">
      <w:pPr>
        <w:pStyle w:val="165"/>
      </w:pPr>
      <w:r>
        <w:rPr>
          <w:rFonts w:hint="eastAsia"/>
        </w:rPr>
        <w:t>卧床尺寸合适，硬化或沙土或垫料，前高后低，设有粪尿沟。</w:t>
      </w:r>
    </w:p>
    <w:p w14:paraId="26C074C1">
      <w:pPr>
        <w:pStyle w:val="165"/>
      </w:pPr>
      <w:r>
        <w:rPr>
          <w:rFonts w:hint="eastAsia"/>
        </w:rPr>
        <w:t>制定合理的粪尿清除时间，保证牛舍及各个通道不积水、不积尿、不积粪。</w:t>
      </w:r>
    </w:p>
    <w:p w14:paraId="4EBDFD2D">
      <w:pPr>
        <w:pStyle w:val="165"/>
      </w:pPr>
      <w:r>
        <w:rPr>
          <w:rFonts w:hint="eastAsia"/>
        </w:rPr>
        <w:t>安排专人排查清除行走通道上的污物、尖锐物等；及时更换牛舍垫料并保持清洁干燥。</w:t>
      </w:r>
    </w:p>
    <w:p w14:paraId="31B05896">
      <w:pPr>
        <w:pStyle w:val="165"/>
      </w:pPr>
      <w:r>
        <w:rPr>
          <w:rFonts w:hint="eastAsia"/>
        </w:rPr>
        <w:t>制定科学的防暑降温管理制度，减少蹄病的发生率。</w:t>
      </w:r>
    </w:p>
    <w:p w14:paraId="61584EA3">
      <w:pPr>
        <w:pStyle w:val="165"/>
      </w:pPr>
      <w:r>
        <w:rPr>
          <w:rFonts w:hint="eastAsia"/>
        </w:rPr>
        <w:t>环境质量及卫生指标符合NY/T1167的规定。</w:t>
      </w:r>
    </w:p>
    <w:p w14:paraId="5932BBEB">
      <w:pPr>
        <w:pStyle w:val="105"/>
        <w:spacing w:before="156" w:after="156"/>
      </w:pPr>
      <w:bookmarkStart w:id="60" w:name="_Toc195604827"/>
      <w:bookmarkStart w:id="61" w:name="_Toc183597957"/>
      <w:r>
        <w:rPr>
          <w:rFonts w:hint="eastAsia"/>
        </w:rPr>
        <w:t>日常管理</w:t>
      </w:r>
      <w:bookmarkEnd w:id="60"/>
      <w:bookmarkEnd w:id="61"/>
    </w:p>
    <w:p w14:paraId="764D234F">
      <w:pPr>
        <w:pStyle w:val="165"/>
      </w:pPr>
      <w:r>
        <w:rPr>
          <w:rFonts w:hint="eastAsia"/>
        </w:rPr>
        <w:t>经常性观察牛群蹄状况，如有异常，及时采取相应的处理措施。</w:t>
      </w:r>
    </w:p>
    <w:p w14:paraId="1CA31246">
      <w:pPr>
        <w:pStyle w:val="165"/>
        <w:spacing w:before="120" w:after="120"/>
      </w:pPr>
      <w:r>
        <w:rPr>
          <w:rFonts w:hint="eastAsia"/>
        </w:rPr>
        <w:t>及时淘汰蹄部有严重缺陷的牛。</w:t>
      </w:r>
    </w:p>
    <w:p w14:paraId="4E2CDDEF">
      <w:pPr>
        <w:pStyle w:val="165"/>
        <w:spacing w:before="120" w:after="120"/>
      </w:pPr>
      <w:r>
        <w:rPr>
          <w:rFonts w:hint="eastAsia"/>
        </w:rPr>
        <w:t>防疫按照</w:t>
      </w:r>
      <w:r>
        <w:t>NY/T 5339</w:t>
      </w:r>
      <w:r>
        <w:rPr>
          <w:rFonts w:hint="eastAsia"/>
        </w:rPr>
        <w:t>规定执行，消毒按照</w:t>
      </w:r>
      <w:r>
        <w:t>NY/T 3075</w:t>
      </w:r>
      <w:r>
        <w:rPr>
          <w:rFonts w:hint="eastAsia"/>
        </w:rPr>
        <w:t>规定执行</w:t>
      </w:r>
    </w:p>
    <w:p w14:paraId="7FAAC0A7">
      <w:pPr>
        <w:pStyle w:val="105"/>
        <w:spacing w:before="156" w:after="156"/>
      </w:pPr>
      <w:bookmarkStart w:id="62" w:name="_Toc195604828"/>
      <w:r>
        <w:rPr>
          <w:rFonts w:hint="eastAsia"/>
        </w:rPr>
        <w:t>营养需要</w:t>
      </w:r>
      <w:bookmarkEnd w:id="59"/>
      <w:bookmarkEnd w:id="62"/>
    </w:p>
    <w:p w14:paraId="60083955">
      <w:pPr>
        <w:pStyle w:val="65"/>
        <w:spacing w:before="156" w:after="156"/>
      </w:pPr>
      <w:r>
        <w:rPr>
          <w:rFonts w:hint="eastAsia"/>
        </w:rPr>
        <w:t>日粮营养</w:t>
      </w:r>
    </w:p>
    <w:p w14:paraId="0FE99B22">
      <w:pPr>
        <w:pStyle w:val="164"/>
      </w:pPr>
      <w:r>
        <w:rPr>
          <w:rFonts w:hint="eastAsia"/>
        </w:rPr>
        <w:t>日粮营养均衡，肉牛营养需要符合</w:t>
      </w:r>
      <w:r>
        <w:t>NY/T815</w:t>
      </w:r>
      <w:r>
        <w:rPr>
          <w:rFonts w:hint="eastAsia"/>
        </w:rPr>
        <w:t>规定、奶牛营养需要符合NY/T34规定、种公牛营养需要符合</w:t>
      </w:r>
      <w:r>
        <w:t>NY/T1446</w:t>
      </w:r>
      <w:r>
        <w:rPr>
          <w:rFonts w:hint="eastAsia"/>
        </w:rPr>
        <w:t>规定。</w:t>
      </w:r>
    </w:p>
    <w:p w14:paraId="3AE698C3">
      <w:pPr>
        <w:pStyle w:val="164"/>
      </w:pPr>
      <w:r>
        <w:rPr>
          <w:rFonts w:hint="eastAsia"/>
        </w:rPr>
        <w:t xml:space="preserve">提供足量的微量元素和维生素，其中微量元素有机和无机配比合理。 </w:t>
      </w:r>
    </w:p>
    <w:p w14:paraId="2E2B7DBB">
      <w:pPr>
        <w:pStyle w:val="164"/>
      </w:pPr>
      <w:r>
        <w:rPr>
          <w:rFonts w:hint="eastAsia"/>
        </w:rPr>
        <w:t>避免出现消化不良、亚急性或急性瘤胃酸中毒，母牛避免产后体况过快下降等。</w:t>
      </w:r>
    </w:p>
    <w:p w14:paraId="5AD04A86">
      <w:pPr>
        <w:pStyle w:val="65"/>
        <w:spacing w:before="156" w:after="156"/>
      </w:pPr>
      <w:r>
        <w:rPr>
          <w:rFonts w:hint="eastAsia"/>
        </w:rPr>
        <w:t>卫生要求</w:t>
      </w:r>
    </w:p>
    <w:p w14:paraId="6E7BF569">
      <w:pPr>
        <w:pStyle w:val="56"/>
        <w:ind w:firstLine="420"/>
      </w:pPr>
      <w:r>
        <w:rPr>
          <w:rFonts w:hint="eastAsia"/>
        </w:rPr>
        <w:t>饮用水符合NY5027规定；饲料符合</w:t>
      </w:r>
      <w:r>
        <w:t>GB13078</w:t>
      </w:r>
      <w:r>
        <w:rPr>
          <w:rFonts w:hint="eastAsia"/>
        </w:rPr>
        <w:t>规定。</w:t>
      </w:r>
    </w:p>
    <w:p w14:paraId="168666CD">
      <w:pPr>
        <w:pStyle w:val="104"/>
        <w:spacing w:before="312" w:after="312"/>
      </w:pPr>
      <w:bookmarkStart w:id="63" w:name="_Toc183597958"/>
      <w:bookmarkStart w:id="64" w:name="_Toc195604829"/>
      <w:r>
        <w:rPr>
          <w:rFonts w:hint="eastAsia"/>
        </w:rPr>
        <w:t>蹄部药浴</w:t>
      </w:r>
      <w:bookmarkEnd w:id="63"/>
      <w:bookmarkEnd w:id="64"/>
    </w:p>
    <w:p w14:paraId="51641BEB">
      <w:pPr>
        <w:pStyle w:val="105"/>
        <w:spacing w:before="156" w:after="156"/>
      </w:pPr>
      <w:bookmarkStart w:id="65" w:name="_Toc183597959"/>
      <w:bookmarkStart w:id="66" w:name="_Toc195604830"/>
      <w:r>
        <w:rPr>
          <w:rFonts w:hint="eastAsia"/>
        </w:rPr>
        <w:t>浴蹄池设置</w:t>
      </w:r>
      <w:bookmarkEnd w:id="65"/>
      <w:bookmarkEnd w:id="66"/>
    </w:p>
    <w:p w14:paraId="5B20FEBF">
      <w:pPr>
        <w:pStyle w:val="164"/>
        <w:numPr>
          <w:ilvl w:val="0"/>
          <w:numId w:val="0"/>
        </w:numPr>
        <w:ind w:firstLine="420" w:firstLineChars="200"/>
      </w:pPr>
      <w:r>
        <w:rPr>
          <w:rFonts w:hint="eastAsia"/>
        </w:rPr>
        <w:t>种公牛在采精厅入口、奶牛在挤奶厅回牛通道、繁殖母牛和育肥肉牛在性能测定通道等位置设置清水池和浴蹄池，清水池在前、浴蹄池在后，清水池和浴蹄池之间距离为10cm～20cm，浴蹄池和清水池的宽度为2～2.5m，长2.5m，高15cm。</w:t>
      </w:r>
    </w:p>
    <w:p w14:paraId="07E6CAFA">
      <w:pPr>
        <w:pStyle w:val="105"/>
        <w:spacing w:before="156" w:after="156"/>
      </w:pPr>
      <w:bookmarkStart w:id="67" w:name="_Toc195604831"/>
      <w:bookmarkStart w:id="68" w:name="_Toc183597960"/>
      <w:r>
        <w:rPr>
          <w:rFonts w:hint="eastAsia"/>
        </w:rPr>
        <w:t>药物选择及浓度</w:t>
      </w:r>
      <w:bookmarkEnd w:id="67"/>
      <w:bookmarkEnd w:id="68"/>
    </w:p>
    <w:p w14:paraId="4A060795">
      <w:pPr>
        <w:pStyle w:val="165"/>
      </w:pPr>
      <w:r>
        <w:rPr>
          <w:rFonts w:hint="eastAsia"/>
        </w:rPr>
        <w:t>选择硫酸铜和甲醛等药物。</w:t>
      </w:r>
    </w:p>
    <w:p w14:paraId="53DB5F4B">
      <w:pPr>
        <w:pStyle w:val="165"/>
        <w:rPr>
          <w:color w:val="FF0000"/>
        </w:rPr>
      </w:pPr>
      <w:r>
        <w:rPr>
          <w:rFonts w:hint="eastAsia"/>
        </w:rPr>
        <w:t>5%硫酸铜和</w:t>
      </w:r>
      <w:r>
        <w:t>5%</w:t>
      </w:r>
      <w:r>
        <w:rPr>
          <w:rFonts w:hint="eastAsia"/>
        </w:rPr>
        <w:t>～8%甲醛，其它药物按产品说明书配比；没有传染性蹄病的牛场由纯甲醛5%调整为甲醛溶液浓度为5%。甲醛浓度调制见附录A.1。</w:t>
      </w:r>
    </w:p>
    <w:p w14:paraId="0A38557C">
      <w:pPr>
        <w:pStyle w:val="165"/>
      </w:pPr>
      <w:r>
        <w:rPr>
          <w:rFonts w:hint="eastAsia"/>
        </w:rPr>
        <w:t>液面高度以没过蹄冠为宜。</w:t>
      </w:r>
    </w:p>
    <w:p w14:paraId="53874AC2">
      <w:pPr>
        <w:pStyle w:val="105"/>
        <w:spacing w:before="156" w:after="156"/>
      </w:pPr>
      <w:bookmarkStart w:id="69" w:name="_Toc195604832"/>
      <w:bookmarkStart w:id="70" w:name="_Toc183597961"/>
      <w:r>
        <w:rPr>
          <w:rFonts w:hint="eastAsia"/>
        </w:rPr>
        <w:t>浴蹄方法和频次</w:t>
      </w:r>
      <w:bookmarkEnd w:id="69"/>
      <w:bookmarkEnd w:id="70"/>
    </w:p>
    <w:p w14:paraId="1A5DCB0E">
      <w:pPr>
        <w:pStyle w:val="65"/>
        <w:spacing w:before="156" w:after="156"/>
      </w:pPr>
      <w:r>
        <w:rPr>
          <w:rFonts w:hint="eastAsia"/>
        </w:rPr>
        <w:t>常规</w:t>
      </w:r>
    </w:p>
    <w:p w14:paraId="40E445E8">
      <w:pPr>
        <w:pStyle w:val="164"/>
      </w:pPr>
      <w:r>
        <w:rPr>
          <w:rFonts w:hint="eastAsia"/>
        </w:rPr>
        <w:t>连续2d用同一种药物(硫酸铜) 浴蹄，隔2d更换另一种药物(甲醛)再次连续2d浴蹄，每次浴蹄时间为5min～10min，每年进行2次，安排在4月～10月进行。</w:t>
      </w:r>
    </w:p>
    <w:p w14:paraId="6F9F8233">
      <w:pPr>
        <w:pStyle w:val="164"/>
      </w:pPr>
      <w:r>
        <w:rPr>
          <w:rFonts w:hint="eastAsia"/>
        </w:rPr>
        <w:t>每1次浴液最多可使用500头牛，超过500 头后要更换浴液，更换浴液应将浴蹄池清扫干净。</w:t>
      </w:r>
    </w:p>
    <w:p w14:paraId="58DD1996">
      <w:pPr>
        <w:pStyle w:val="65"/>
        <w:spacing w:before="156" w:after="156"/>
      </w:pPr>
      <w:r>
        <w:rPr>
          <w:rFonts w:hint="eastAsia"/>
        </w:rPr>
        <w:t>特殊</w:t>
      </w:r>
    </w:p>
    <w:p w14:paraId="6A478FC6">
      <w:pPr>
        <w:pStyle w:val="164"/>
      </w:pPr>
      <w:r>
        <w:rPr>
          <w:rFonts w:hint="eastAsia"/>
        </w:rPr>
        <w:t>出现传染性蹄病时，频次变为3d甲醛(浓度为8%)，2d硫酸铜(浓度为5%)，且需连续中间不停，每次20min～30min。</w:t>
      </w:r>
    </w:p>
    <w:p w14:paraId="0BCAEADF">
      <w:pPr>
        <w:pStyle w:val="164"/>
      </w:pPr>
      <w:r>
        <w:rPr>
          <w:rFonts w:hint="eastAsia"/>
        </w:rPr>
        <w:t>传染性蹄病在彻底清除之前，重复浴蹄1次～2次。</w:t>
      </w:r>
    </w:p>
    <w:p w14:paraId="4D9E22BE">
      <w:pPr>
        <w:pStyle w:val="65"/>
        <w:spacing w:before="156" w:after="156"/>
      </w:pPr>
      <w:r>
        <w:rPr>
          <w:rFonts w:hint="eastAsia"/>
        </w:rPr>
        <w:t>其它</w:t>
      </w:r>
    </w:p>
    <w:p w14:paraId="561244C4">
      <w:pPr>
        <w:pStyle w:val="164"/>
      </w:pPr>
      <w:r>
        <w:rPr>
          <w:rFonts w:hint="eastAsia"/>
        </w:rPr>
        <w:t>无浴蹄池设施时，可采用喷酒药液方式浴蹄，以药液浸润蹄壁为宜，每周1次～2次。</w:t>
      </w:r>
    </w:p>
    <w:p w14:paraId="3E81D234">
      <w:pPr>
        <w:pStyle w:val="164"/>
      </w:pPr>
      <w:r>
        <w:rPr>
          <w:rFonts w:hint="eastAsia"/>
        </w:rPr>
        <w:t>兽医应对浴蹄工作时刻检查并记录。检查记录内容见附录A.2</w:t>
      </w:r>
    </w:p>
    <w:p w14:paraId="1407AFFE">
      <w:pPr>
        <w:pStyle w:val="104"/>
        <w:spacing w:before="312" w:after="312"/>
      </w:pPr>
      <w:bookmarkStart w:id="71" w:name="_Toc195604833"/>
      <w:bookmarkStart w:id="72" w:name="_Toc183597962"/>
      <w:r>
        <w:rPr>
          <w:rFonts w:hint="eastAsia"/>
        </w:rPr>
        <w:t>蹄部修整</w:t>
      </w:r>
      <w:bookmarkEnd w:id="71"/>
      <w:bookmarkEnd w:id="72"/>
    </w:p>
    <w:p w14:paraId="10DF23A2">
      <w:pPr>
        <w:pStyle w:val="105"/>
        <w:spacing w:before="156" w:after="156"/>
      </w:pPr>
      <w:bookmarkStart w:id="73" w:name="_Toc183597964"/>
      <w:bookmarkStart w:id="74" w:name="_Toc195604834"/>
      <w:r>
        <w:rPr>
          <w:rFonts w:hint="eastAsia"/>
        </w:rPr>
        <w:t>人员设备准备</w:t>
      </w:r>
      <w:bookmarkEnd w:id="73"/>
      <w:bookmarkEnd w:id="74"/>
    </w:p>
    <w:p w14:paraId="524260B4">
      <w:pPr>
        <w:pStyle w:val="65"/>
        <w:spacing w:before="156" w:after="156"/>
      </w:pPr>
      <w:r>
        <w:rPr>
          <w:rFonts w:hint="eastAsia"/>
        </w:rPr>
        <w:t>人员</w:t>
      </w:r>
    </w:p>
    <w:p w14:paraId="1982DF44">
      <w:pPr>
        <w:pStyle w:val="56"/>
        <w:ind w:firstLine="420"/>
      </w:pPr>
      <w:r>
        <w:rPr>
          <w:rFonts w:hint="eastAsia"/>
        </w:rPr>
        <w:t>规模养牛场建立修蹄人员2人～3人。</w:t>
      </w:r>
    </w:p>
    <w:p w14:paraId="10FAB62B">
      <w:pPr>
        <w:pStyle w:val="65"/>
        <w:spacing w:before="156" w:after="156"/>
      </w:pPr>
      <w:r>
        <w:rPr>
          <w:rFonts w:hint="eastAsia"/>
        </w:rPr>
        <w:t>工具</w:t>
      </w:r>
    </w:p>
    <w:p w14:paraId="2671D03C">
      <w:pPr>
        <w:pStyle w:val="165"/>
        <w:numPr>
          <w:ilvl w:val="0"/>
          <w:numId w:val="0"/>
        </w:numPr>
        <w:ind w:firstLine="420" w:firstLineChars="200"/>
      </w:pPr>
      <w:r>
        <w:rPr>
          <w:rFonts w:hint="eastAsia"/>
        </w:rPr>
        <w:t>包括修蹄刀、修蹄镰、勾刀、修蹄剪、修蹄钳、磨光机、电动角磨机、牛蹄刷、专用磨刀石、手术刀、手术剪、止血钳、修蹄工作台、保定绳、修蹄工具保存柜等。</w:t>
      </w:r>
    </w:p>
    <w:p w14:paraId="31C198FA">
      <w:pPr>
        <w:pStyle w:val="65"/>
        <w:spacing w:before="156" w:after="156"/>
      </w:pPr>
      <w:r>
        <w:rPr>
          <w:rFonts w:hint="eastAsia"/>
        </w:rPr>
        <w:t>药品。</w:t>
      </w:r>
    </w:p>
    <w:p w14:paraId="104AD430">
      <w:pPr>
        <w:pStyle w:val="165"/>
        <w:numPr>
          <w:ilvl w:val="0"/>
          <w:numId w:val="0"/>
        </w:numPr>
        <w:ind w:firstLine="420" w:firstLineChars="200"/>
      </w:pPr>
      <w:r>
        <w:rPr>
          <w:rFonts w:hint="eastAsia"/>
        </w:rPr>
        <w:t>包括高锰酸钾、硫酸铜、10%碘酊、生理盐水、双氧水、青霉素、普鲁卡因、新洁尔灭、凡士林、注射器、纱布绷带、麻布卷等。</w:t>
      </w:r>
    </w:p>
    <w:p w14:paraId="56338D80">
      <w:pPr>
        <w:pStyle w:val="105"/>
        <w:spacing w:before="156" w:after="156"/>
      </w:pPr>
      <w:bookmarkStart w:id="75" w:name="_Toc183597965"/>
      <w:bookmarkStart w:id="76" w:name="_Toc195604835"/>
      <w:r>
        <w:rPr>
          <w:rFonts w:hint="eastAsia"/>
        </w:rPr>
        <w:t>修蹄场区</w:t>
      </w:r>
      <w:bookmarkEnd w:id="75"/>
      <w:bookmarkEnd w:id="76"/>
    </w:p>
    <w:p w14:paraId="512833FE">
      <w:pPr>
        <w:pStyle w:val="165"/>
      </w:pPr>
      <w:r>
        <w:rPr>
          <w:rFonts w:hint="eastAsia"/>
        </w:rPr>
        <w:t>设置足够15头牛活动空间的待修场和修完后的放置场，场地要保持干净、干燥、地面平整，无存水处。</w:t>
      </w:r>
    </w:p>
    <w:p w14:paraId="09B8652D">
      <w:pPr>
        <w:pStyle w:val="165"/>
      </w:pPr>
      <w:r>
        <w:rPr>
          <w:rFonts w:hint="eastAsia"/>
        </w:rPr>
        <w:t>待修场和放置场的栏杆保证牢固、无损坏；且配备饮水装置，保证牛只在修蹄期间有足够的水源。</w:t>
      </w:r>
    </w:p>
    <w:p w14:paraId="7115635A">
      <w:pPr>
        <w:pStyle w:val="165"/>
      </w:pPr>
      <w:r>
        <w:rPr>
          <w:rFonts w:hint="eastAsia"/>
        </w:rPr>
        <w:t>修蹄台和待修场连接处建设要合理，方便操作。修蹄台旁边安装水管，方便修蹄前冲洗牛蹄。修蹄台下铺橡胶垫，防止牛只损伤。</w:t>
      </w:r>
    </w:p>
    <w:p w14:paraId="226380FB">
      <w:pPr>
        <w:pStyle w:val="105"/>
        <w:spacing w:before="156" w:after="156"/>
      </w:pPr>
      <w:bookmarkStart w:id="77" w:name="_Toc195604836"/>
      <w:bookmarkStart w:id="78" w:name="_Toc183597966"/>
      <w:r>
        <w:rPr>
          <w:rFonts w:hint="eastAsia"/>
        </w:rPr>
        <w:t>修整方法</w:t>
      </w:r>
      <w:bookmarkEnd w:id="77"/>
      <w:bookmarkEnd w:id="78"/>
    </w:p>
    <w:p w14:paraId="6B7F6E4A">
      <w:pPr>
        <w:pStyle w:val="105"/>
        <w:numPr>
          <w:ilvl w:val="0"/>
          <w:numId w:val="0"/>
        </w:numPr>
        <w:spacing w:before="156" w:after="156"/>
        <w:ind w:firstLine="420" w:firstLineChars="200"/>
        <w:rPr>
          <w:rFonts w:ascii="宋体" w:hAnsi="宋体" w:eastAsia="宋体"/>
        </w:rPr>
      </w:pPr>
      <w:bookmarkStart w:id="79" w:name="_Toc183597967"/>
      <w:bookmarkStart w:id="80" w:name="_Toc195604837"/>
      <w:r>
        <w:rPr>
          <w:rFonts w:hint="eastAsia" w:ascii="宋体" w:hAnsi="宋体" w:eastAsia="宋体"/>
        </w:rPr>
        <w:t>采用剪、削、挖、打磨等方法，对蹄型进行矫正，对发生病变和坏死及增生组织进行清除，对蹄部存在深部病灶的进行蹄底扩创等。</w:t>
      </w:r>
      <w:bookmarkEnd w:id="79"/>
      <w:bookmarkEnd w:id="80"/>
    </w:p>
    <w:p w14:paraId="557C4511">
      <w:pPr>
        <w:pStyle w:val="105"/>
        <w:spacing w:before="156" w:after="156"/>
      </w:pPr>
      <w:bookmarkStart w:id="81" w:name="_Toc195604838"/>
      <w:bookmarkStart w:id="82" w:name="_Toc183597963"/>
      <w:r>
        <w:rPr>
          <w:rFonts w:hint="eastAsia"/>
        </w:rPr>
        <w:t>普修与次数</w:t>
      </w:r>
      <w:bookmarkEnd w:id="81"/>
      <w:bookmarkEnd w:id="82"/>
    </w:p>
    <w:p w14:paraId="541AB5E9">
      <w:pPr>
        <w:pStyle w:val="165"/>
      </w:pPr>
      <w:r>
        <w:rPr>
          <w:rFonts w:hint="eastAsia"/>
        </w:rPr>
        <w:t>干奶前的母牛和种公牛每年春季、秋季各普修1次；育肥牛一个育肥期普修1次。</w:t>
      </w:r>
    </w:p>
    <w:p w14:paraId="5F3B2CC1">
      <w:pPr>
        <w:pStyle w:val="165"/>
      </w:pPr>
      <w:r>
        <w:rPr>
          <w:rFonts w:hint="eastAsia"/>
        </w:rPr>
        <w:t>孕期牛无长蹄、变形蹄暂不修蹄。</w:t>
      </w:r>
    </w:p>
    <w:p w14:paraId="5BF0134E">
      <w:pPr>
        <w:pStyle w:val="165"/>
      </w:pPr>
      <w:r>
        <w:rPr>
          <w:rFonts w:hint="eastAsia"/>
        </w:rPr>
        <w:t>蹄部严重变形者不可一次矫正，应多次修整，以防牛蹄损伤，引发感染性蹄病。</w:t>
      </w:r>
    </w:p>
    <w:p w14:paraId="3C1C6C23">
      <w:pPr>
        <w:pStyle w:val="105"/>
        <w:spacing w:before="156" w:after="156"/>
      </w:pPr>
      <w:bookmarkStart w:id="83" w:name="_Toc183597968"/>
      <w:bookmarkStart w:id="84" w:name="_Toc195604839"/>
      <w:r>
        <w:rPr>
          <w:rFonts w:hint="eastAsia"/>
        </w:rPr>
        <w:t>操作</w:t>
      </w:r>
      <w:bookmarkEnd w:id="83"/>
      <w:bookmarkEnd w:id="84"/>
    </w:p>
    <w:p w14:paraId="5B7EE3F2">
      <w:pPr>
        <w:pStyle w:val="65"/>
        <w:spacing w:before="156" w:after="156"/>
      </w:pPr>
      <w:r>
        <w:rPr>
          <w:rFonts w:hint="eastAsia"/>
        </w:rPr>
        <w:t>工具消毒</w:t>
      </w:r>
    </w:p>
    <w:p w14:paraId="175E5C5B">
      <w:pPr>
        <w:pStyle w:val="56"/>
        <w:ind w:firstLine="420"/>
      </w:pPr>
      <w:r>
        <w:rPr>
          <w:rFonts w:hint="eastAsia"/>
        </w:rPr>
        <w:t>修蹄工具用5%碘酊或1%新洁尔灭消毒备用。</w:t>
      </w:r>
    </w:p>
    <w:p w14:paraId="72EBCBC9">
      <w:pPr>
        <w:pStyle w:val="65"/>
        <w:spacing w:before="156" w:after="156"/>
      </w:pPr>
      <w:r>
        <w:rPr>
          <w:rFonts w:hint="eastAsia"/>
        </w:rPr>
        <w:t>保定</w:t>
      </w:r>
    </w:p>
    <w:p w14:paraId="48FF662F">
      <w:pPr>
        <w:pStyle w:val="164"/>
        <w:numPr>
          <w:ilvl w:val="0"/>
          <w:numId w:val="0"/>
        </w:numPr>
        <w:ind w:firstLine="420" w:firstLineChars="200"/>
      </w:pPr>
      <w:r>
        <w:rPr>
          <w:rFonts w:hint="eastAsia"/>
        </w:rPr>
        <w:t>将牛赶入修蹄翻转架后进行腹带保定，腹带保定完后翻转修蹄架到35°左右，用保定绳保定4个肢蹄。</w:t>
      </w:r>
    </w:p>
    <w:p w14:paraId="015618F7">
      <w:pPr>
        <w:pStyle w:val="65"/>
        <w:spacing w:before="156" w:after="156"/>
      </w:pPr>
      <w:r>
        <w:rPr>
          <w:rFonts w:hint="eastAsia"/>
        </w:rPr>
        <w:t>清理检查</w:t>
      </w:r>
    </w:p>
    <w:p w14:paraId="6C598539">
      <w:pPr>
        <w:pStyle w:val="164"/>
      </w:pPr>
      <w:r>
        <w:rPr>
          <w:rFonts w:hint="eastAsia"/>
        </w:rPr>
        <w:t>以清水将蹄部粪便等污物去除，使用牛蹄刷刷干净，重点刷拭蹄底、蹄踵和指(趾)间皮肤。</w:t>
      </w:r>
    </w:p>
    <w:p w14:paraId="33405717">
      <w:pPr>
        <w:pStyle w:val="164"/>
      </w:pPr>
      <w:r>
        <w:rPr>
          <w:rFonts w:hint="eastAsia"/>
        </w:rPr>
        <w:t>检查蹄冠、(指)趾间是否有糜烂、增生及赘生物。</w:t>
      </w:r>
    </w:p>
    <w:p w14:paraId="7210D864">
      <w:pPr>
        <w:pStyle w:val="164"/>
      </w:pPr>
      <w:r>
        <w:rPr>
          <w:rFonts w:hint="eastAsia"/>
        </w:rPr>
        <w:t>用修蹄钳或刀柄敲击蹄底，通过牛的痛感反应，判断是否有深度病灶。</w:t>
      </w:r>
    </w:p>
    <w:p w14:paraId="28F114D9">
      <w:pPr>
        <w:pStyle w:val="164"/>
      </w:pPr>
      <w:r>
        <w:rPr>
          <w:rFonts w:hint="eastAsia"/>
        </w:rPr>
        <w:t xml:space="preserve">检查(指)趾尖是否过长变形，内外两(指)趾是否保持高度相同、光滑平整，两(指)趾内侧蹄弓是否呈弧度倾斜。 </w:t>
      </w:r>
    </w:p>
    <w:p w14:paraId="01A09A14">
      <w:pPr>
        <w:pStyle w:val="164"/>
      </w:pPr>
      <w:r>
        <w:rPr>
          <w:rFonts w:hint="eastAsia"/>
        </w:rPr>
        <w:t>发现蹄底及蹄壁有轻微裂痕的，可涂抹凡士林。</w:t>
      </w:r>
    </w:p>
    <w:p w14:paraId="56C22094">
      <w:pPr>
        <w:pStyle w:val="65"/>
        <w:spacing w:before="156" w:after="156"/>
      </w:pPr>
      <w:r>
        <w:rPr>
          <w:rFonts w:hint="eastAsia"/>
        </w:rPr>
        <w:t>修整</w:t>
      </w:r>
    </w:p>
    <w:p w14:paraId="046AEC6C">
      <w:pPr>
        <w:pStyle w:val="164"/>
      </w:pPr>
      <w:r>
        <w:rPr>
          <w:rFonts w:hint="eastAsia"/>
        </w:rPr>
        <w:t>按蹄尖处蹄底留5mm～7mm的厚度，使用电刨以50-52°的角度向后方修整蹄底面，蹄跟保留。两蹄趾的蹄底面应一致，并与蹄叉中线切面垂直，平衡蹄跟。</w:t>
      </w:r>
    </w:p>
    <w:p w14:paraId="7F4D9F2A">
      <w:pPr>
        <w:pStyle w:val="164"/>
      </w:pPr>
      <w:r>
        <w:rPr>
          <w:rFonts w:hint="eastAsia"/>
        </w:rPr>
        <w:t>使用修蹄刀把两(指)趾间内侧拉平,抠出污物。</w:t>
      </w:r>
    </w:p>
    <w:p w14:paraId="5E97F30C">
      <w:pPr>
        <w:pStyle w:val="164"/>
      </w:pPr>
      <w:r>
        <w:rPr>
          <w:rFonts w:hint="eastAsia"/>
        </w:rPr>
        <w:t>修蹄弓时要求内侧弧度光滑不能有棱角，同时要保留的负重面 1.5厘米以上；修蹄弓时要防止距蹄尖1cm处内侧和蹄底出血。如出血用5%碘酊消毒后，再用高锰酸钾止血。</w:t>
      </w:r>
    </w:p>
    <w:p w14:paraId="32DC2985">
      <w:pPr>
        <w:pStyle w:val="164"/>
      </w:pPr>
      <w:r>
        <w:rPr>
          <w:rFonts w:hint="eastAsia"/>
        </w:rPr>
        <w:t xml:space="preserve">蹄弓修好后,使用电刨或修蹄刀把蹄底和边缘的棱角修平，修光滑但不能过度切除蹄壁。 </w:t>
      </w:r>
    </w:p>
    <w:p w14:paraId="169C4758">
      <w:pPr>
        <w:pStyle w:val="65"/>
        <w:spacing w:before="156" w:after="156"/>
      </w:pPr>
      <w:r>
        <w:rPr>
          <w:rFonts w:hint="eastAsia"/>
        </w:rPr>
        <w:t>处理</w:t>
      </w:r>
    </w:p>
    <w:p w14:paraId="79F33FB9">
      <w:pPr>
        <w:pStyle w:val="164"/>
      </w:pPr>
      <w:r>
        <w:rPr>
          <w:rFonts w:hint="eastAsia"/>
        </w:rPr>
        <w:t>凡蹄底角质有分层或潜道处，均应将外层分离的角质剔除。</w:t>
      </w:r>
    </w:p>
    <w:p w14:paraId="749634AA">
      <w:pPr>
        <w:pStyle w:val="164"/>
      </w:pPr>
      <w:r>
        <w:rPr>
          <w:rFonts w:hint="eastAsia"/>
        </w:rPr>
        <w:t>对于化脓性创面，用手术刀将腐肉彻底清除，见到新鲜创面为止。</w:t>
      </w:r>
    </w:p>
    <w:p w14:paraId="016515A6">
      <w:pPr>
        <w:pStyle w:val="164"/>
      </w:pPr>
      <w:r>
        <w:rPr>
          <w:rFonts w:hint="eastAsia"/>
        </w:rPr>
        <w:t>对于趾间纤维瘤，将突出于正常皮肤的赘生物的基部切除；患侧趾进行扩创、清创。</w:t>
      </w:r>
    </w:p>
    <w:p w14:paraId="5B9FCEA9">
      <w:pPr>
        <w:pStyle w:val="164"/>
      </w:pPr>
      <w:r>
        <w:rPr>
          <w:rFonts w:hint="eastAsia"/>
        </w:rPr>
        <w:t>以上操作和用药包扎过程均无菌操作。</w:t>
      </w:r>
    </w:p>
    <w:p w14:paraId="029B0F65">
      <w:pPr>
        <w:pStyle w:val="65"/>
        <w:spacing w:before="156" w:after="156"/>
      </w:pPr>
      <w:r>
        <w:rPr>
          <w:rFonts w:hint="eastAsia"/>
        </w:rPr>
        <w:t>放牛</w:t>
      </w:r>
    </w:p>
    <w:p w14:paraId="3D21A9A5">
      <w:pPr>
        <w:pStyle w:val="164"/>
        <w:numPr>
          <w:ilvl w:val="0"/>
          <w:numId w:val="0"/>
        </w:numPr>
        <w:ind w:firstLine="420" w:firstLineChars="200"/>
      </w:pPr>
      <w:r>
        <w:rPr>
          <w:rFonts w:hint="eastAsia"/>
        </w:rPr>
        <w:t xml:space="preserve">保定绳去除，将牛从修蹄翻转架上放出，赶至放置场内，20min后还回圈舍；有蹄病的牛圈舍保持干净、干燥、柔软，需要复查的牛只做好记录并按时复查。 </w:t>
      </w:r>
    </w:p>
    <w:p w14:paraId="604B0790">
      <w:pPr>
        <w:pStyle w:val="104"/>
        <w:spacing w:before="312" w:after="312"/>
      </w:pPr>
      <w:bookmarkStart w:id="85" w:name="_Toc183597969"/>
      <w:bookmarkStart w:id="86" w:name="_Toc195604840"/>
      <w:r>
        <w:rPr>
          <w:rFonts w:hint="eastAsia"/>
        </w:rPr>
        <w:t>常见蹄病处理</w:t>
      </w:r>
      <w:bookmarkEnd w:id="85"/>
      <w:bookmarkEnd w:id="86"/>
    </w:p>
    <w:p w14:paraId="41BE0351">
      <w:pPr>
        <w:pStyle w:val="105"/>
        <w:spacing w:before="156" w:after="156"/>
      </w:pPr>
      <w:bookmarkStart w:id="87" w:name="_Toc195604841"/>
      <w:bookmarkStart w:id="88" w:name="_Toc183597970"/>
      <w:r>
        <w:rPr>
          <w:rFonts w:hint="eastAsia"/>
        </w:rPr>
        <w:t>非感染性蹄病</w:t>
      </w:r>
      <w:bookmarkEnd w:id="87"/>
      <w:bookmarkEnd w:id="88"/>
    </w:p>
    <w:p w14:paraId="5F5656D5">
      <w:pPr>
        <w:pStyle w:val="165"/>
      </w:pPr>
      <w:r>
        <w:rPr>
          <w:rFonts w:hint="eastAsia"/>
        </w:rPr>
        <w:t>严重的非感染性牛彻底清创后，清洗消毒，使用消炎药物外敷并包扎,并在健趾上放置蹄垫，每周复查1次。</w:t>
      </w:r>
    </w:p>
    <w:p w14:paraId="2C2E3CB6">
      <w:pPr>
        <w:pStyle w:val="165"/>
      </w:pPr>
      <w:r>
        <w:rPr>
          <w:rFonts w:hint="eastAsia"/>
        </w:rPr>
        <w:t>轻微的非感染性牛清创后，清洗消毒即可。</w:t>
      </w:r>
    </w:p>
    <w:p w14:paraId="7CAB3170">
      <w:pPr>
        <w:pStyle w:val="105"/>
        <w:spacing w:before="156" w:after="156"/>
      </w:pPr>
      <w:bookmarkStart w:id="89" w:name="_Toc183597971"/>
      <w:bookmarkStart w:id="90" w:name="_Toc195604842"/>
      <w:r>
        <w:rPr>
          <w:rFonts w:hint="eastAsia"/>
        </w:rPr>
        <w:t>感染性蹄病</w:t>
      </w:r>
      <w:bookmarkEnd w:id="89"/>
      <w:bookmarkEnd w:id="90"/>
    </w:p>
    <w:p w14:paraId="5D3F4E15">
      <w:pPr>
        <w:pStyle w:val="165"/>
      </w:pPr>
      <w:r>
        <w:rPr>
          <w:rFonts w:hint="eastAsia"/>
        </w:rPr>
        <w:t xml:space="preserve">发生腐蹄病、蹄叶炎、趾间皮炎、趾间蜂窝质炎、上皮炎等蹄病牛转至治疗区，除全身治疗外，应清除蹄部坏死组织，用10%～30%硫酸铜溶液或3%～5%甲醛溶液冲洗患蹄,涂以10%碘酊,再放入高锰酸钾粉或硫酸铜粉,裹绷带；每 2～3 d洗换药1次。 </w:t>
      </w:r>
    </w:p>
    <w:p w14:paraId="2B9ED7E9">
      <w:pPr>
        <w:pStyle w:val="165"/>
      </w:pPr>
      <w:r>
        <w:rPr>
          <w:rFonts w:hint="eastAsia"/>
        </w:rPr>
        <w:t>轻微牛只清洗后使用外敷消炎药物并包扎，每周复查1次。</w:t>
      </w:r>
    </w:p>
    <w:p w14:paraId="066A639A">
      <w:pPr>
        <w:pStyle w:val="165"/>
      </w:pPr>
      <w:r>
        <w:rPr>
          <w:rFonts w:hint="eastAsia"/>
        </w:rPr>
        <w:t>改善环境卫生和加强蹄浴管理。</w:t>
      </w:r>
    </w:p>
    <w:p w14:paraId="4E488249">
      <w:pPr>
        <w:pStyle w:val="104"/>
        <w:spacing w:before="312" w:after="312"/>
      </w:pPr>
      <w:bookmarkStart w:id="91" w:name="_Toc195604843"/>
      <w:r>
        <w:rPr>
          <w:rFonts w:hint="eastAsia"/>
        </w:rPr>
        <w:t>蹄部保健记录</w:t>
      </w:r>
      <w:bookmarkEnd w:id="91"/>
    </w:p>
    <w:p w14:paraId="5B17732F">
      <w:pPr>
        <w:pStyle w:val="105"/>
        <w:spacing w:before="156" w:after="156"/>
      </w:pPr>
      <w:bookmarkStart w:id="92" w:name="_Toc195604844"/>
      <w:r>
        <w:rPr>
          <w:rFonts w:hint="eastAsia"/>
        </w:rPr>
        <w:t>蹄部发生情况记录</w:t>
      </w:r>
      <w:bookmarkEnd w:id="92"/>
    </w:p>
    <w:p w14:paraId="0831CB69">
      <w:pPr>
        <w:pStyle w:val="56"/>
        <w:ind w:firstLine="420"/>
      </w:pPr>
      <w:r>
        <w:rPr>
          <w:rFonts w:hint="eastAsia"/>
        </w:rPr>
        <w:t>见附录A.3</w:t>
      </w:r>
    </w:p>
    <w:p w14:paraId="36B2C51A">
      <w:pPr>
        <w:pStyle w:val="105"/>
        <w:spacing w:before="156" w:after="156"/>
      </w:pPr>
      <w:bookmarkStart w:id="93" w:name="_Toc195604845"/>
      <w:r>
        <w:rPr>
          <w:rFonts w:hint="eastAsia"/>
        </w:rPr>
        <w:t>蹄部修整记录</w:t>
      </w:r>
      <w:bookmarkEnd w:id="93"/>
    </w:p>
    <w:p w14:paraId="213C2DFB">
      <w:pPr>
        <w:pStyle w:val="56"/>
        <w:ind w:firstLine="420"/>
      </w:pPr>
      <w:r>
        <w:rPr>
          <w:rFonts w:hint="eastAsia"/>
        </w:rPr>
        <w:t>见附录B.1</w:t>
      </w:r>
    </w:p>
    <w:p w14:paraId="10FE6C2A">
      <w:pPr>
        <w:pStyle w:val="56"/>
        <w:ind w:firstLine="300"/>
        <w:rPr>
          <w:sz w:val="15"/>
          <w:szCs w:val="15"/>
        </w:rPr>
      </w:pPr>
    </w:p>
    <w:p w14:paraId="75863A3A">
      <w:pPr>
        <w:pStyle w:val="56"/>
        <w:ind w:firstLine="300"/>
        <w:rPr>
          <w:sz w:val="15"/>
          <w:szCs w:val="15"/>
        </w:rPr>
      </w:pPr>
    </w:p>
    <w:p w14:paraId="0B351AED">
      <w:pPr>
        <w:pStyle w:val="56"/>
        <w:ind w:firstLine="300"/>
        <w:rPr>
          <w:sz w:val="15"/>
          <w:szCs w:val="15"/>
        </w:rPr>
      </w:pPr>
    </w:p>
    <w:p w14:paraId="4DA2B4BA">
      <w:pPr>
        <w:pStyle w:val="56"/>
        <w:ind w:firstLine="300"/>
        <w:rPr>
          <w:sz w:val="15"/>
          <w:szCs w:val="15"/>
        </w:rPr>
      </w:pPr>
    </w:p>
    <w:p w14:paraId="68E921A6">
      <w:pPr>
        <w:pStyle w:val="56"/>
        <w:ind w:firstLine="300"/>
        <w:rPr>
          <w:sz w:val="15"/>
          <w:szCs w:val="15"/>
        </w:rPr>
      </w:pPr>
    </w:p>
    <w:p w14:paraId="509498DC">
      <w:pPr>
        <w:pStyle w:val="56"/>
        <w:ind w:firstLine="300"/>
        <w:rPr>
          <w:sz w:val="15"/>
          <w:szCs w:val="15"/>
        </w:rPr>
      </w:pPr>
    </w:p>
    <w:p w14:paraId="50D19C19">
      <w:pPr>
        <w:pStyle w:val="56"/>
        <w:ind w:firstLine="300"/>
        <w:rPr>
          <w:sz w:val="15"/>
          <w:szCs w:val="15"/>
        </w:rPr>
      </w:pPr>
    </w:p>
    <w:p w14:paraId="76480869">
      <w:pPr>
        <w:pStyle w:val="56"/>
        <w:ind w:firstLine="300"/>
        <w:rPr>
          <w:sz w:val="15"/>
          <w:szCs w:val="15"/>
        </w:rPr>
      </w:pPr>
    </w:p>
    <w:p w14:paraId="2BD8EA47">
      <w:pPr>
        <w:pStyle w:val="56"/>
        <w:ind w:firstLine="300"/>
        <w:rPr>
          <w:sz w:val="15"/>
          <w:szCs w:val="15"/>
        </w:rPr>
      </w:pPr>
    </w:p>
    <w:p w14:paraId="45F911F4">
      <w:pPr>
        <w:pStyle w:val="56"/>
        <w:ind w:firstLine="300"/>
        <w:rPr>
          <w:sz w:val="15"/>
          <w:szCs w:val="15"/>
        </w:rPr>
      </w:pPr>
    </w:p>
    <w:p w14:paraId="39EA592D">
      <w:pPr>
        <w:pStyle w:val="56"/>
        <w:ind w:firstLine="300"/>
        <w:rPr>
          <w:sz w:val="15"/>
          <w:szCs w:val="15"/>
        </w:rPr>
      </w:pPr>
    </w:p>
    <w:p w14:paraId="0C13BCBF">
      <w:pPr>
        <w:pStyle w:val="56"/>
        <w:ind w:firstLine="300"/>
        <w:rPr>
          <w:sz w:val="15"/>
          <w:szCs w:val="15"/>
        </w:rPr>
        <w:sectPr>
          <w:pgSz w:w="11906" w:h="16838"/>
          <w:pgMar w:top="1928" w:right="1134" w:bottom="1134" w:left="1134" w:header="1418" w:footer="1134" w:gutter="284"/>
          <w:pgNumType w:start="1"/>
          <w:cols w:space="425" w:num="1"/>
          <w:formProt w:val="0"/>
          <w:docGrid w:type="lines" w:linePitch="312" w:charSpace="0"/>
        </w:sectPr>
      </w:pPr>
    </w:p>
    <w:bookmarkEnd w:id="25"/>
    <w:p w14:paraId="32FA8489">
      <w:pPr>
        <w:pStyle w:val="198"/>
        <w:rPr>
          <w:vanish w:val="0"/>
        </w:rPr>
      </w:pPr>
      <w:bookmarkStart w:id="94" w:name="BookMark5"/>
    </w:p>
    <w:p w14:paraId="042C2C1E">
      <w:pPr>
        <w:pStyle w:val="199"/>
        <w:rPr>
          <w:vanish w:val="0"/>
        </w:rPr>
      </w:pPr>
    </w:p>
    <w:p w14:paraId="101264BE">
      <w:pPr>
        <w:pStyle w:val="76"/>
        <w:spacing w:after="156"/>
      </w:pPr>
      <w:r>
        <w:br w:type="textWrapping"/>
      </w:r>
      <w:bookmarkStart w:id="95" w:name="_Toc195604846"/>
      <w:bookmarkStart w:id="96" w:name="_Toc183597973"/>
      <w:r>
        <w:rPr>
          <w:rFonts w:hint="eastAsia"/>
        </w:rPr>
        <w:t>（资料性）</w:t>
      </w:r>
      <w:bookmarkEnd w:id="95"/>
      <w:r>
        <w:br w:type="textWrapping"/>
      </w:r>
      <w:bookmarkEnd w:id="96"/>
      <w:r>
        <w:rPr>
          <w:rFonts w:hint="eastAsia"/>
        </w:rPr>
        <w:t xml:space="preserve"> </w:t>
      </w:r>
    </w:p>
    <w:p w14:paraId="5D15B704">
      <w:pPr>
        <w:pStyle w:val="77"/>
        <w:spacing w:before="156" w:after="156"/>
      </w:pPr>
      <w:r>
        <w:rPr>
          <w:rFonts w:hint="eastAsia"/>
        </w:rPr>
        <w:t>甲醛浓度调制</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43"/>
        <w:gridCol w:w="2343"/>
        <w:gridCol w:w="2344"/>
        <w:gridCol w:w="2344"/>
      </w:tblGrid>
      <w:tr w14:paraId="130C21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43" w:type="dxa"/>
            <w:tcBorders>
              <w:top w:val="single" w:color="auto" w:sz="8" w:space="0"/>
              <w:bottom w:val="single" w:color="auto" w:sz="8" w:space="0"/>
            </w:tcBorders>
            <w:shd w:val="clear" w:color="auto" w:fill="auto"/>
            <w:vAlign w:val="center"/>
          </w:tcPr>
          <w:p w14:paraId="1677D562">
            <w:pPr>
              <w:pStyle w:val="178"/>
            </w:pPr>
            <w:r>
              <w:rPr>
                <w:rFonts w:hint="eastAsia"/>
              </w:rPr>
              <w:t>有无传染病</w:t>
            </w:r>
          </w:p>
        </w:tc>
        <w:tc>
          <w:tcPr>
            <w:tcW w:w="2343" w:type="dxa"/>
            <w:tcBorders>
              <w:top w:val="single" w:color="auto" w:sz="8" w:space="0"/>
              <w:bottom w:val="single" w:color="auto" w:sz="8" w:space="0"/>
            </w:tcBorders>
            <w:shd w:val="clear" w:color="auto" w:fill="auto"/>
            <w:vAlign w:val="center"/>
          </w:tcPr>
          <w:p w14:paraId="746A5DA4">
            <w:pPr>
              <w:pStyle w:val="178"/>
            </w:pPr>
            <w:r>
              <w:rPr>
                <w:rFonts w:hint="eastAsia"/>
              </w:rPr>
              <w:t>调制内容</w:t>
            </w:r>
          </w:p>
        </w:tc>
        <w:tc>
          <w:tcPr>
            <w:tcW w:w="2344" w:type="dxa"/>
            <w:tcBorders>
              <w:top w:val="single" w:color="auto" w:sz="8" w:space="0"/>
              <w:bottom w:val="single" w:color="auto" w:sz="8" w:space="0"/>
            </w:tcBorders>
            <w:shd w:val="clear" w:color="auto" w:fill="auto"/>
            <w:vAlign w:val="center"/>
          </w:tcPr>
          <w:p w14:paraId="6549699D">
            <w:pPr>
              <w:pStyle w:val="178"/>
            </w:pPr>
            <w:r>
              <w:rPr>
                <w:rFonts w:hint="eastAsia"/>
              </w:rPr>
              <w:t>调制方法</w:t>
            </w:r>
          </w:p>
        </w:tc>
        <w:tc>
          <w:tcPr>
            <w:tcW w:w="2344" w:type="dxa"/>
            <w:tcBorders>
              <w:top w:val="single" w:color="auto" w:sz="8" w:space="0"/>
              <w:bottom w:val="single" w:color="auto" w:sz="8" w:space="0"/>
            </w:tcBorders>
            <w:shd w:val="clear" w:color="auto" w:fill="auto"/>
            <w:vAlign w:val="center"/>
          </w:tcPr>
          <w:p w14:paraId="7C01B953">
            <w:pPr>
              <w:pStyle w:val="178"/>
            </w:pPr>
            <w:r>
              <w:rPr>
                <w:rFonts w:hint="eastAsia"/>
              </w:rPr>
              <w:t>备注</w:t>
            </w:r>
          </w:p>
        </w:tc>
      </w:tr>
      <w:tr w14:paraId="28EACD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Borders>
              <w:top w:val="single" w:color="auto" w:sz="8" w:space="0"/>
            </w:tcBorders>
            <w:shd w:val="clear" w:color="auto" w:fill="auto"/>
            <w:vAlign w:val="center"/>
          </w:tcPr>
          <w:p w14:paraId="70259BE3">
            <w:pPr>
              <w:pStyle w:val="178"/>
            </w:pPr>
            <w:r>
              <w:rPr>
                <w:rFonts w:hint="eastAsia"/>
              </w:rPr>
              <w:t>有</w:t>
            </w:r>
          </w:p>
        </w:tc>
        <w:tc>
          <w:tcPr>
            <w:tcW w:w="2343" w:type="dxa"/>
            <w:tcBorders>
              <w:top w:val="single" w:color="auto" w:sz="8" w:space="0"/>
            </w:tcBorders>
            <w:shd w:val="clear" w:color="auto" w:fill="auto"/>
            <w:vAlign w:val="center"/>
          </w:tcPr>
          <w:p w14:paraId="26C5F06E">
            <w:pPr>
              <w:pStyle w:val="178"/>
            </w:pPr>
            <w:r>
              <w:rPr>
                <w:rFonts w:hint="eastAsia"/>
              </w:rPr>
              <w:t>纯甲醛5%调制甲醛溶液8%</w:t>
            </w:r>
          </w:p>
        </w:tc>
        <w:tc>
          <w:tcPr>
            <w:tcW w:w="2344" w:type="dxa"/>
            <w:tcBorders>
              <w:top w:val="single" w:color="auto" w:sz="8" w:space="0"/>
            </w:tcBorders>
            <w:shd w:val="clear" w:color="auto" w:fill="auto"/>
            <w:vAlign w:val="center"/>
          </w:tcPr>
          <w:p w14:paraId="7C42614D">
            <w:pPr>
              <w:pStyle w:val="178"/>
            </w:pPr>
            <w:r>
              <w:rPr>
                <w:rFonts w:hint="eastAsia"/>
              </w:rPr>
              <w:t>1L36%甲醛溶解16.5L的水中</w:t>
            </w:r>
          </w:p>
        </w:tc>
        <w:tc>
          <w:tcPr>
            <w:tcW w:w="2344" w:type="dxa"/>
            <w:tcBorders>
              <w:top w:val="single" w:color="auto" w:sz="8" w:space="0"/>
            </w:tcBorders>
            <w:shd w:val="clear" w:color="auto" w:fill="auto"/>
            <w:vAlign w:val="center"/>
          </w:tcPr>
          <w:p w14:paraId="36D2E78F">
            <w:pPr>
              <w:pStyle w:val="178"/>
            </w:pPr>
          </w:p>
        </w:tc>
      </w:tr>
      <w:tr w14:paraId="7DA9FB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shd w:val="clear" w:color="auto" w:fill="auto"/>
            <w:vAlign w:val="center"/>
          </w:tcPr>
          <w:p w14:paraId="3D6DB64B">
            <w:pPr>
              <w:pStyle w:val="178"/>
            </w:pPr>
            <w:r>
              <w:rPr>
                <w:rFonts w:hint="eastAsia"/>
              </w:rPr>
              <w:t>无</w:t>
            </w:r>
          </w:p>
        </w:tc>
        <w:tc>
          <w:tcPr>
            <w:tcW w:w="2343" w:type="dxa"/>
            <w:shd w:val="clear" w:color="auto" w:fill="auto"/>
            <w:vAlign w:val="center"/>
          </w:tcPr>
          <w:p w14:paraId="05E74D5B">
            <w:pPr>
              <w:pStyle w:val="178"/>
            </w:pPr>
            <w:r>
              <w:rPr>
                <w:rFonts w:hint="eastAsia"/>
              </w:rPr>
              <w:t>纯甲醛5%调制甲醛溶液5%</w:t>
            </w:r>
          </w:p>
        </w:tc>
        <w:tc>
          <w:tcPr>
            <w:tcW w:w="2344" w:type="dxa"/>
            <w:shd w:val="clear" w:color="auto" w:fill="auto"/>
            <w:vAlign w:val="center"/>
          </w:tcPr>
          <w:p w14:paraId="16E7E15B">
            <w:pPr>
              <w:pStyle w:val="178"/>
            </w:pPr>
            <w:r>
              <w:rPr>
                <w:rFonts w:hint="eastAsia"/>
              </w:rPr>
              <w:t>1L36%甲醛溶解20L的水中</w:t>
            </w:r>
          </w:p>
        </w:tc>
        <w:tc>
          <w:tcPr>
            <w:tcW w:w="2344" w:type="dxa"/>
            <w:shd w:val="clear" w:color="auto" w:fill="auto"/>
            <w:vAlign w:val="center"/>
          </w:tcPr>
          <w:p w14:paraId="1CB997EA">
            <w:pPr>
              <w:pStyle w:val="178"/>
            </w:pPr>
          </w:p>
        </w:tc>
      </w:tr>
      <w:tr w14:paraId="4215F8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43" w:type="dxa"/>
            <w:tcBorders>
              <w:bottom w:val="single" w:color="auto" w:sz="8" w:space="0"/>
            </w:tcBorders>
            <w:shd w:val="clear" w:color="auto" w:fill="auto"/>
            <w:vAlign w:val="center"/>
          </w:tcPr>
          <w:p w14:paraId="51042CD1">
            <w:pPr>
              <w:pStyle w:val="178"/>
            </w:pPr>
          </w:p>
        </w:tc>
        <w:tc>
          <w:tcPr>
            <w:tcW w:w="2343" w:type="dxa"/>
            <w:tcBorders>
              <w:bottom w:val="single" w:color="auto" w:sz="8" w:space="0"/>
            </w:tcBorders>
            <w:shd w:val="clear" w:color="auto" w:fill="auto"/>
            <w:vAlign w:val="center"/>
          </w:tcPr>
          <w:p w14:paraId="26E04571">
            <w:pPr>
              <w:pStyle w:val="178"/>
            </w:pPr>
          </w:p>
        </w:tc>
        <w:tc>
          <w:tcPr>
            <w:tcW w:w="2344" w:type="dxa"/>
            <w:tcBorders>
              <w:bottom w:val="single" w:color="auto" w:sz="8" w:space="0"/>
            </w:tcBorders>
            <w:shd w:val="clear" w:color="auto" w:fill="auto"/>
            <w:vAlign w:val="center"/>
          </w:tcPr>
          <w:p w14:paraId="2E72C664">
            <w:pPr>
              <w:pStyle w:val="178"/>
            </w:pPr>
          </w:p>
        </w:tc>
        <w:tc>
          <w:tcPr>
            <w:tcW w:w="2344" w:type="dxa"/>
            <w:tcBorders>
              <w:bottom w:val="single" w:color="auto" w:sz="8" w:space="0"/>
            </w:tcBorders>
            <w:shd w:val="clear" w:color="auto" w:fill="auto"/>
            <w:vAlign w:val="center"/>
          </w:tcPr>
          <w:p w14:paraId="1E855994">
            <w:pPr>
              <w:pStyle w:val="178"/>
            </w:pPr>
          </w:p>
        </w:tc>
      </w:tr>
    </w:tbl>
    <w:p w14:paraId="2C0A933E">
      <w:pPr>
        <w:pStyle w:val="56"/>
        <w:ind w:firstLine="420"/>
      </w:pPr>
    </w:p>
    <w:p w14:paraId="09ADC4D5">
      <w:pPr>
        <w:pStyle w:val="56"/>
        <w:ind w:firstLine="420"/>
      </w:pPr>
    </w:p>
    <w:p w14:paraId="53C14CCB">
      <w:pPr>
        <w:pStyle w:val="77"/>
        <w:spacing w:before="156" w:after="156"/>
      </w:pPr>
      <w:r>
        <w:rPr>
          <w:rFonts w:hint="eastAsia"/>
        </w:rPr>
        <w:t>浴蹄检查内容</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852"/>
        <w:gridCol w:w="852"/>
        <w:gridCol w:w="852"/>
        <w:gridCol w:w="852"/>
        <w:gridCol w:w="852"/>
        <w:gridCol w:w="852"/>
        <w:gridCol w:w="852"/>
        <w:gridCol w:w="852"/>
        <w:gridCol w:w="852"/>
        <w:gridCol w:w="853"/>
        <w:gridCol w:w="853"/>
      </w:tblGrid>
      <w:tr w14:paraId="0AC473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70" w:type="dxa"/>
            <w:tcBorders>
              <w:top w:val="single" w:color="auto" w:sz="8" w:space="0"/>
              <w:bottom w:val="single" w:color="auto" w:sz="8" w:space="0"/>
            </w:tcBorders>
            <w:shd w:val="clear" w:color="auto" w:fill="auto"/>
            <w:vAlign w:val="center"/>
          </w:tcPr>
          <w:p w14:paraId="36C4730B">
            <w:pPr>
              <w:pStyle w:val="178"/>
              <w:jc w:val="both"/>
            </w:pPr>
            <w:r>
              <w:rPr>
                <w:rFonts w:hint="eastAsia"/>
              </w:rPr>
              <w:t>检查日期</w:t>
            </w:r>
          </w:p>
        </w:tc>
        <w:tc>
          <w:tcPr>
            <w:tcW w:w="870" w:type="dxa"/>
            <w:tcBorders>
              <w:top w:val="single" w:color="auto" w:sz="8" w:space="0"/>
              <w:bottom w:val="single" w:color="auto" w:sz="8" w:space="0"/>
            </w:tcBorders>
            <w:shd w:val="clear" w:color="auto" w:fill="auto"/>
            <w:vAlign w:val="center"/>
          </w:tcPr>
          <w:p w14:paraId="347D96E8">
            <w:pPr>
              <w:pStyle w:val="178"/>
              <w:jc w:val="both"/>
            </w:pPr>
            <w:r>
              <w:rPr>
                <w:rFonts w:hint="eastAsia"/>
              </w:rPr>
              <w:t>浴蹄药品</w:t>
            </w:r>
          </w:p>
        </w:tc>
        <w:tc>
          <w:tcPr>
            <w:tcW w:w="870" w:type="dxa"/>
            <w:tcBorders>
              <w:top w:val="single" w:color="auto" w:sz="8" w:space="0"/>
              <w:bottom w:val="single" w:color="auto" w:sz="8" w:space="0"/>
            </w:tcBorders>
            <w:shd w:val="clear" w:color="auto" w:fill="auto"/>
            <w:vAlign w:val="center"/>
          </w:tcPr>
          <w:p w14:paraId="7F7D4C48">
            <w:pPr>
              <w:pStyle w:val="178"/>
              <w:jc w:val="both"/>
            </w:pPr>
            <w:r>
              <w:rPr>
                <w:rFonts w:hint="eastAsia"/>
              </w:rPr>
              <w:t>浴液浓度</w:t>
            </w:r>
          </w:p>
        </w:tc>
        <w:tc>
          <w:tcPr>
            <w:tcW w:w="870" w:type="dxa"/>
            <w:tcBorders>
              <w:top w:val="single" w:color="auto" w:sz="8" w:space="0"/>
              <w:bottom w:val="single" w:color="auto" w:sz="8" w:space="0"/>
            </w:tcBorders>
            <w:shd w:val="clear" w:color="auto" w:fill="auto"/>
            <w:vAlign w:val="center"/>
          </w:tcPr>
          <w:p w14:paraId="00A8C6AE">
            <w:pPr>
              <w:pStyle w:val="178"/>
              <w:jc w:val="both"/>
            </w:pPr>
            <w:r>
              <w:rPr>
                <w:rFonts w:hint="eastAsia"/>
              </w:rPr>
              <w:t>浴牛头数</w:t>
            </w:r>
          </w:p>
        </w:tc>
        <w:tc>
          <w:tcPr>
            <w:tcW w:w="870" w:type="dxa"/>
            <w:tcBorders>
              <w:top w:val="single" w:color="auto" w:sz="8" w:space="0"/>
              <w:bottom w:val="single" w:color="auto" w:sz="8" w:space="0"/>
            </w:tcBorders>
            <w:shd w:val="clear" w:color="auto" w:fill="auto"/>
            <w:vAlign w:val="center"/>
          </w:tcPr>
          <w:p w14:paraId="66F69A85">
            <w:pPr>
              <w:pStyle w:val="178"/>
              <w:jc w:val="both"/>
            </w:pPr>
            <w:r>
              <w:rPr>
                <w:rFonts w:hint="eastAsia"/>
              </w:rPr>
              <w:t>更换药液</w:t>
            </w:r>
          </w:p>
        </w:tc>
        <w:tc>
          <w:tcPr>
            <w:tcW w:w="870" w:type="dxa"/>
            <w:tcBorders>
              <w:top w:val="single" w:color="auto" w:sz="8" w:space="0"/>
              <w:bottom w:val="single" w:color="auto" w:sz="8" w:space="0"/>
            </w:tcBorders>
            <w:shd w:val="clear" w:color="auto" w:fill="auto"/>
            <w:vAlign w:val="center"/>
          </w:tcPr>
          <w:p w14:paraId="698198F4">
            <w:pPr>
              <w:pStyle w:val="178"/>
              <w:jc w:val="both"/>
            </w:pPr>
            <w:r>
              <w:rPr>
                <w:rFonts w:hint="eastAsia"/>
              </w:rPr>
              <w:t>浴蹄天数</w:t>
            </w:r>
          </w:p>
        </w:tc>
        <w:tc>
          <w:tcPr>
            <w:tcW w:w="870" w:type="dxa"/>
            <w:tcBorders>
              <w:top w:val="single" w:color="auto" w:sz="8" w:space="0"/>
              <w:bottom w:val="single" w:color="auto" w:sz="8" w:space="0"/>
            </w:tcBorders>
            <w:shd w:val="clear" w:color="auto" w:fill="auto"/>
            <w:vAlign w:val="center"/>
          </w:tcPr>
          <w:p w14:paraId="5C4BAD6A">
            <w:pPr>
              <w:pStyle w:val="178"/>
              <w:jc w:val="both"/>
            </w:pPr>
            <w:r>
              <w:rPr>
                <w:rFonts w:hint="eastAsia"/>
              </w:rPr>
              <w:t>浴蹄时间</w:t>
            </w:r>
          </w:p>
        </w:tc>
        <w:tc>
          <w:tcPr>
            <w:tcW w:w="870" w:type="dxa"/>
            <w:tcBorders>
              <w:top w:val="single" w:color="auto" w:sz="8" w:space="0"/>
              <w:bottom w:val="single" w:color="auto" w:sz="8" w:space="0"/>
            </w:tcBorders>
            <w:shd w:val="clear" w:color="auto" w:fill="auto"/>
            <w:vAlign w:val="center"/>
          </w:tcPr>
          <w:p w14:paraId="60E63F36">
            <w:pPr>
              <w:pStyle w:val="178"/>
              <w:jc w:val="both"/>
            </w:pPr>
            <w:r>
              <w:rPr>
                <w:rFonts w:hint="eastAsia"/>
              </w:rPr>
              <w:t>跛牛头数</w:t>
            </w:r>
          </w:p>
        </w:tc>
        <w:tc>
          <w:tcPr>
            <w:tcW w:w="870" w:type="dxa"/>
            <w:tcBorders>
              <w:top w:val="single" w:color="auto" w:sz="8" w:space="0"/>
              <w:bottom w:val="single" w:color="auto" w:sz="8" w:space="0"/>
            </w:tcBorders>
            <w:shd w:val="clear" w:color="auto" w:fill="auto"/>
            <w:vAlign w:val="center"/>
          </w:tcPr>
          <w:p w14:paraId="345558DC">
            <w:pPr>
              <w:pStyle w:val="178"/>
              <w:jc w:val="both"/>
            </w:pPr>
            <w:r>
              <w:rPr>
                <w:rFonts w:hint="eastAsia"/>
              </w:rPr>
              <w:t>浴蹄人员</w:t>
            </w:r>
            <w:r>
              <w:rPr>
                <w:rFonts w:hint="eastAsia"/>
              </w:rPr>
              <w:tab/>
            </w:r>
          </w:p>
        </w:tc>
        <w:tc>
          <w:tcPr>
            <w:tcW w:w="870" w:type="dxa"/>
            <w:tcBorders>
              <w:top w:val="single" w:color="auto" w:sz="8" w:space="0"/>
              <w:bottom w:val="single" w:color="auto" w:sz="8" w:space="0"/>
            </w:tcBorders>
            <w:shd w:val="clear" w:color="auto" w:fill="auto"/>
            <w:vAlign w:val="center"/>
          </w:tcPr>
          <w:p w14:paraId="75F875CF">
            <w:pPr>
              <w:pStyle w:val="178"/>
              <w:jc w:val="both"/>
            </w:pPr>
            <w:r>
              <w:rPr>
                <w:rFonts w:hint="eastAsia"/>
              </w:rPr>
              <w:t>检查人员</w:t>
            </w:r>
          </w:p>
        </w:tc>
        <w:tc>
          <w:tcPr>
            <w:tcW w:w="870" w:type="dxa"/>
            <w:tcBorders>
              <w:top w:val="single" w:color="auto" w:sz="8" w:space="0"/>
              <w:bottom w:val="single" w:color="auto" w:sz="8" w:space="0"/>
            </w:tcBorders>
            <w:shd w:val="clear" w:color="auto" w:fill="auto"/>
            <w:vAlign w:val="center"/>
          </w:tcPr>
          <w:p w14:paraId="1D769CFC">
            <w:pPr>
              <w:pStyle w:val="178"/>
              <w:jc w:val="both"/>
            </w:pPr>
            <w:r>
              <w:rPr>
                <w:rFonts w:hint="eastAsia"/>
              </w:rPr>
              <w:t>备 注</w:t>
            </w:r>
          </w:p>
        </w:tc>
      </w:tr>
      <w:tr w14:paraId="1E8CB5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70" w:type="dxa"/>
            <w:tcBorders>
              <w:top w:val="single" w:color="auto" w:sz="8" w:space="0"/>
            </w:tcBorders>
            <w:shd w:val="clear" w:color="auto" w:fill="auto"/>
            <w:vAlign w:val="center"/>
          </w:tcPr>
          <w:p w14:paraId="52698E79">
            <w:pPr>
              <w:pStyle w:val="178"/>
              <w:jc w:val="both"/>
            </w:pPr>
          </w:p>
        </w:tc>
        <w:tc>
          <w:tcPr>
            <w:tcW w:w="870" w:type="dxa"/>
            <w:tcBorders>
              <w:top w:val="single" w:color="auto" w:sz="8" w:space="0"/>
            </w:tcBorders>
            <w:shd w:val="clear" w:color="auto" w:fill="auto"/>
            <w:vAlign w:val="center"/>
          </w:tcPr>
          <w:p w14:paraId="01FF5C68">
            <w:pPr>
              <w:pStyle w:val="178"/>
              <w:jc w:val="both"/>
            </w:pPr>
          </w:p>
        </w:tc>
        <w:tc>
          <w:tcPr>
            <w:tcW w:w="870" w:type="dxa"/>
            <w:tcBorders>
              <w:top w:val="single" w:color="auto" w:sz="8" w:space="0"/>
            </w:tcBorders>
            <w:shd w:val="clear" w:color="auto" w:fill="auto"/>
            <w:vAlign w:val="center"/>
          </w:tcPr>
          <w:p w14:paraId="64B4F632">
            <w:pPr>
              <w:pStyle w:val="178"/>
              <w:jc w:val="both"/>
            </w:pPr>
          </w:p>
        </w:tc>
        <w:tc>
          <w:tcPr>
            <w:tcW w:w="870" w:type="dxa"/>
            <w:tcBorders>
              <w:top w:val="single" w:color="auto" w:sz="8" w:space="0"/>
            </w:tcBorders>
            <w:shd w:val="clear" w:color="auto" w:fill="auto"/>
            <w:vAlign w:val="center"/>
          </w:tcPr>
          <w:p w14:paraId="4BA9DFCD">
            <w:pPr>
              <w:pStyle w:val="178"/>
              <w:jc w:val="both"/>
            </w:pPr>
          </w:p>
        </w:tc>
        <w:tc>
          <w:tcPr>
            <w:tcW w:w="870" w:type="dxa"/>
            <w:tcBorders>
              <w:top w:val="single" w:color="auto" w:sz="8" w:space="0"/>
            </w:tcBorders>
            <w:shd w:val="clear" w:color="auto" w:fill="auto"/>
            <w:vAlign w:val="center"/>
          </w:tcPr>
          <w:p w14:paraId="2913A2E5">
            <w:pPr>
              <w:pStyle w:val="178"/>
              <w:jc w:val="both"/>
            </w:pPr>
          </w:p>
        </w:tc>
        <w:tc>
          <w:tcPr>
            <w:tcW w:w="870" w:type="dxa"/>
            <w:tcBorders>
              <w:top w:val="single" w:color="auto" w:sz="8" w:space="0"/>
            </w:tcBorders>
            <w:shd w:val="clear" w:color="auto" w:fill="auto"/>
            <w:vAlign w:val="center"/>
          </w:tcPr>
          <w:p w14:paraId="611F7E8C">
            <w:pPr>
              <w:pStyle w:val="178"/>
              <w:jc w:val="both"/>
            </w:pPr>
          </w:p>
        </w:tc>
        <w:tc>
          <w:tcPr>
            <w:tcW w:w="870" w:type="dxa"/>
            <w:tcBorders>
              <w:top w:val="single" w:color="auto" w:sz="8" w:space="0"/>
            </w:tcBorders>
            <w:shd w:val="clear" w:color="auto" w:fill="auto"/>
            <w:vAlign w:val="center"/>
          </w:tcPr>
          <w:p w14:paraId="04D25252">
            <w:pPr>
              <w:pStyle w:val="178"/>
              <w:jc w:val="both"/>
            </w:pPr>
          </w:p>
        </w:tc>
        <w:tc>
          <w:tcPr>
            <w:tcW w:w="870" w:type="dxa"/>
            <w:tcBorders>
              <w:top w:val="single" w:color="auto" w:sz="8" w:space="0"/>
            </w:tcBorders>
            <w:shd w:val="clear" w:color="auto" w:fill="auto"/>
            <w:vAlign w:val="center"/>
          </w:tcPr>
          <w:p w14:paraId="67E08AF1">
            <w:pPr>
              <w:pStyle w:val="178"/>
              <w:jc w:val="both"/>
            </w:pPr>
          </w:p>
        </w:tc>
        <w:tc>
          <w:tcPr>
            <w:tcW w:w="870" w:type="dxa"/>
            <w:tcBorders>
              <w:top w:val="single" w:color="auto" w:sz="8" w:space="0"/>
            </w:tcBorders>
            <w:shd w:val="clear" w:color="auto" w:fill="auto"/>
            <w:vAlign w:val="center"/>
          </w:tcPr>
          <w:p w14:paraId="11B6211D">
            <w:pPr>
              <w:pStyle w:val="178"/>
              <w:jc w:val="both"/>
            </w:pPr>
          </w:p>
        </w:tc>
        <w:tc>
          <w:tcPr>
            <w:tcW w:w="870" w:type="dxa"/>
            <w:tcBorders>
              <w:top w:val="single" w:color="auto" w:sz="8" w:space="0"/>
            </w:tcBorders>
            <w:shd w:val="clear" w:color="auto" w:fill="auto"/>
            <w:vAlign w:val="center"/>
          </w:tcPr>
          <w:p w14:paraId="595083BB">
            <w:pPr>
              <w:pStyle w:val="178"/>
              <w:jc w:val="both"/>
            </w:pPr>
          </w:p>
        </w:tc>
        <w:tc>
          <w:tcPr>
            <w:tcW w:w="870" w:type="dxa"/>
            <w:tcBorders>
              <w:top w:val="single" w:color="auto" w:sz="8" w:space="0"/>
            </w:tcBorders>
            <w:shd w:val="clear" w:color="auto" w:fill="auto"/>
            <w:vAlign w:val="center"/>
          </w:tcPr>
          <w:p w14:paraId="66B485FC">
            <w:pPr>
              <w:pStyle w:val="178"/>
              <w:jc w:val="both"/>
            </w:pPr>
          </w:p>
        </w:tc>
      </w:tr>
      <w:tr w14:paraId="6B4AAB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70" w:type="dxa"/>
            <w:shd w:val="clear" w:color="auto" w:fill="auto"/>
            <w:vAlign w:val="center"/>
          </w:tcPr>
          <w:p w14:paraId="709A66B6">
            <w:pPr>
              <w:pStyle w:val="178"/>
              <w:jc w:val="both"/>
            </w:pPr>
          </w:p>
        </w:tc>
        <w:tc>
          <w:tcPr>
            <w:tcW w:w="870" w:type="dxa"/>
            <w:shd w:val="clear" w:color="auto" w:fill="auto"/>
            <w:vAlign w:val="center"/>
          </w:tcPr>
          <w:p w14:paraId="63F985E4">
            <w:pPr>
              <w:pStyle w:val="178"/>
              <w:jc w:val="both"/>
            </w:pPr>
          </w:p>
        </w:tc>
        <w:tc>
          <w:tcPr>
            <w:tcW w:w="870" w:type="dxa"/>
            <w:shd w:val="clear" w:color="auto" w:fill="auto"/>
            <w:vAlign w:val="center"/>
          </w:tcPr>
          <w:p w14:paraId="5261FD6A">
            <w:pPr>
              <w:pStyle w:val="178"/>
              <w:jc w:val="both"/>
            </w:pPr>
          </w:p>
        </w:tc>
        <w:tc>
          <w:tcPr>
            <w:tcW w:w="870" w:type="dxa"/>
            <w:shd w:val="clear" w:color="auto" w:fill="auto"/>
            <w:vAlign w:val="center"/>
          </w:tcPr>
          <w:p w14:paraId="0DBF7FDC">
            <w:pPr>
              <w:pStyle w:val="178"/>
              <w:jc w:val="both"/>
            </w:pPr>
          </w:p>
        </w:tc>
        <w:tc>
          <w:tcPr>
            <w:tcW w:w="870" w:type="dxa"/>
            <w:shd w:val="clear" w:color="auto" w:fill="auto"/>
            <w:vAlign w:val="center"/>
          </w:tcPr>
          <w:p w14:paraId="317B0F7F">
            <w:pPr>
              <w:pStyle w:val="178"/>
              <w:jc w:val="both"/>
            </w:pPr>
          </w:p>
        </w:tc>
        <w:tc>
          <w:tcPr>
            <w:tcW w:w="870" w:type="dxa"/>
            <w:shd w:val="clear" w:color="auto" w:fill="auto"/>
            <w:vAlign w:val="center"/>
          </w:tcPr>
          <w:p w14:paraId="4A900BD2">
            <w:pPr>
              <w:pStyle w:val="178"/>
              <w:jc w:val="both"/>
            </w:pPr>
          </w:p>
        </w:tc>
        <w:tc>
          <w:tcPr>
            <w:tcW w:w="870" w:type="dxa"/>
            <w:shd w:val="clear" w:color="auto" w:fill="auto"/>
            <w:vAlign w:val="center"/>
          </w:tcPr>
          <w:p w14:paraId="73BB5143">
            <w:pPr>
              <w:pStyle w:val="178"/>
              <w:jc w:val="both"/>
            </w:pPr>
          </w:p>
        </w:tc>
        <w:tc>
          <w:tcPr>
            <w:tcW w:w="870" w:type="dxa"/>
            <w:shd w:val="clear" w:color="auto" w:fill="auto"/>
            <w:vAlign w:val="center"/>
          </w:tcPr>
          <w:p w14:paraId="2644BE5B">
            <w:pPr>
              <w:pStyle w:val="178"/>
              <w:jc w:val="both"/>
            </w:pPr>
          </w:p>
        </w:tc>
        <w:tc>
          <w:tcPr>
            <w:tcW w:w="870" w:type="dxa"/>
            <w:shd w:val="clear" w:color="auto" w:fill="auto"/>
            <w:vAlign w:val="center"/>
          </w:tcPr>
          <w:p w14:paraId="5306AC3C">
            <w:pPr>
              <w:pStyle w:val="178"/>
              <w:jc w:val="both"/>
            </w:pPr>
          </w:p>
        </w:tc>
        <w:tc>
          <w:tcPr>
            <w:tcW w:w="870" w:type="dxa"/>
            <w:shd w:val="clear" w:color="auto" w:fill="auto"/>
            <w:vAlign w:val="center"/>
          </w:tcPr>
          <w:p w14:paraId="52E45E58">
            <w:pPr>
              <w:pStyle w:val="178"/>
              <w:jc w:val="both"/>
            </w:pPr>
          </w:p>
        </w:tc>
        <w:tc>
          <w:tcPr>
            <w:tcW w:w="870" w:type="dxa"/>
            <w:shd w:val="clear" w:color="auto" w:fill="auto"/>
            <w:vAlign w:val="center"/>
          </w:tcPr>
          <w:p w14:paraId="006426EA">
            <w:pPr>
              <w:pStyle w:val="178"/>
              <w:jc w:val="both"/>
            </w:pPr>
          </w:p>
        </w:tc>
      </w:tr>
      <w:tr w14:paraId="3DFA30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70" w:type="dxa"/>
            <w:shd w:val="clear" w:color="auto" w:fill="auto"/>
            <w:vAlign w:val="center"/>
          </w:tcPr>
          <w:p w14:paraId="3F0A9DCA">
            <w:pPr>
              <w:pStyle w:val="178"/>
            </w:pPr>
          </w:p>
        </w:tc>
        <w:tc>
          <w:tcPr>
            <w:tcW w:w="870" w:type="dxa"/>
            <w:shd w:val="clear" w:color="auto" w:fill="auto"/>
            <w:vAlign w:val="center"/>
          </w:tcPr>
          <w:p w14:paraId="4C30F5E5">
            <w:pPr>
              <w:pStyle w:val="178"/>
            </w:pPr>
          </w:p>
        </w:tc>
        <w:tc>
          <w:tcPr>
            <w:tcW w:w="870" w:type="dxa"/>
            <w:shd w:val="clear" w:color="auto" w:fill="auto"/>
            <w:vAlign w:val="center"/>
          </w:tcPr>
          <w:p w14:paraId="544CF8EC">
            <w:pPr>
              <w:pStyle w:val="178"/>
            </w:pPr>
          </w:p>
        </w:tc>
        <w:tc>
          <w:tcPr>
            <w:tcW w:w="870" w:type="dxa"/>
            <w:shd w:val="clear" w:color="auto" w:fill="auto"/>
            <w:vAlign w:val="center"/>
          </w:tcPr>
          <w:p w14:paraId="2E603A53">
            <w:pPr>
              <w:pStyle w:val="178"/>
            </w:pPr>
          </w:p>
        </w:tc>
        <w:tc>
          <w:tcPr>
            <w:tcW w:w="870" w:type="dxa"/>
            <w:shd w:val="clear" w:color="auto" w:fill="auto"/>
            <w:vAlign w:val="center"/>
          </w:tcPr>
          <w:p w14:paraId="1192AB4D">
            <w:pPr>
              <w:pStyle w:val="178"/>
            </w:pPr>
          </w:p>
        </w:tc>
        <w:tc>
          <w:tcPr>
            <w:tcW w:w="870" w:type="dxa"/>
            <w:shd w:val="clear" w:color="auto" w:fill="auto"/>
            <w:vAlign w:val="center"/>
          </w:tcPr>
          <w:p w14:paraId="77E2D285">
            <w:pPr>
              <w:pStyle w:val="178"/>
            </w:pPr>
          </w:p>
        </w:tc>
        <w:tc>
          <w:tcPr>
            <w:tcW w:w="870" w:type="dxa"/>
            <w:shd w:val="clear" w:color="auto" w:fill="auto"/>
            <w:vAlign w:val="center"/>
          </w:tcPr>
          <w:p w14:paraId="266A646D">
            <w:pPr>
              <w:pStyle w:val="178"/>
            </w:pPr>
          </w:p>
        </w:tc>
        <w:tc>
          <w:tcPr>
            <w:tcW w:w="870" w:type="dxa"/>
            <w:shd w:val="clear" w:color="auto" w:fill="auto"/>
            <w:vAlign w:val="center"/>
          </w:tcPr>
          <w:p w14:paraId="593C6B3A">
            <w:pPr>
              <w:pStyle w:val="178"/>
            </w:pPr>
          </w:p>
        </w:tc>
        <w:tc>
          <w:tcPr>
            <w:tcW w:w="870" w:type="dxa"/>
            <w:shd w:val="clear" w:color="auto" w:fill="auto"/>
            <w:vAlign w:val="center"/>
          </w:tcPr>
          <w:p w14:paraId="6C0906FE">
            <w:pPr>
              <w:pStyle w:val="178"/>
            </w:pPr>
          </w:p>
        </w:tc>
        <w:tc>
          <w:tcPr>
            <w:tcW w:w="870" w:type="dxa"/>
            <w:shd w:val="clear" w:color="auto" w:fill="auto"/>
            <w:vAlign w:val="center"/>
          </w:tcPr>
          <w:p w14:paraId="4C819F0D">
            <w:pPr>
              <w:pStyle w:val="178"/>
            </w:pPr>
          </w:p>
        </w:tc>
        <w:tc>
          <w:tcPr>
            <w:tcW w:w="870" w:type="dxa"/>
            <w:shd w:val="clear" w:color="auto" w:fill="auto"/>
            <w:vAlign w:val="center"/>
          </w:tcPr>
          <w:p w14:paraId="2863C130">
            <w:pPr>
              <w:pStyle w:val="178"/>
            </w:pPr>
          </w:p>
        </w:tc>
      </w:tr>
      <w:tr w14:paraId="1A59AD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70" w:type="dxa"/>
            <w:shd w:val="clear" w:color="auto" w:fill="auto"/>
            <w:vAlign w:val="center"/>
          </w:tcPr>
          <w:p w14:paraId="6757A71D">
            <w:pPr>
              <w:pStyle w:val="178"/>
            </w:pPr>
          </w:p>
        </w:tc>
        <w:tc>
          <w:tcPr>
            <w:tcW w:w="870" w:type="dxa"/>
            <w:shd w:val="clear" w:color="auto" w:fill="auto"/>
            <w:vAlign w:val="center"/>
          </w:tcPr>
          <w:p w14:paraId="7327F2EB">
            <w:pPr>
              <w:pStyle w:val="178"/>
            </w:pPr>
          </w:p>
        </w:tc>
        <w:tc>
          <w:tcPr>
            <w:tcW w:w="870" w:type="dxa"/>
            <w:shd w:val="clear" w:color="auto" w:fill="auto"/>
            <w:vAlign w:val="center"/>
          </w:tcPr>
          <w:p w14:paraId="13E8D0DC">
            <w:pPr>
              <w:pStyle w:val="178"/>
            </w:pPr>
          </w:p>
        </w:tc>
        <w:tc>
          <w:tcPr>
            <w:tcW w:w="870" w:type="dxa"/>
            <w:shd w:val="clear" w:color="auto" w:fill="auto"/>
            <w:vAlign w:val="center"/>
          </w:tcPr>
          <w:p w14:paraId="36CD7949">
            <w:pPr>
              <w:pStyle w:val="178"/>
            </w:pPr>
          </w:p>
        </w:tc>
        <w:tc>
          <w:tcPr>
            <w:tcW w:w="870" w:type="dxa"/>
            <w:shd w:val="clear" w:color="auto" w:fill="auto"/>
            <w:vAlign w:val="center"/>
          </w:tcPr>
          <w:p w14:paraId="41BA832E">
            <w:pPr>
              <w:pStyle w:val="178"/>
            </w:pPr>
          </w:p>
        </w:tc>
        <w:tc>
          <w:tcPr>
            <w:tcW w:w="870" w:type="dxa"/>
            <w:shd w:val="clear" w:color="auto" w:fill="auto"/>
            <w:vAlign w:val="center"/>
          </w:tcPr>
          <w:p w14:paraId="2642CFA8">
            <w:pPr>
              <w:pStyle w:val="178"/>
            </w:pPr>
          </w:p>
        </w:tc>
        <w:tc>
          <w:tcPr>
            <w:tcW w:w="870" w:type="dxa"/>
            <w:shd w:val="clear" w:color="auto" w:fill="auto"/>
            <w:vAlign w:val="center"/>
          </w:tcPr>
          <w:p w14:paraId="7AFEB953">
            <w:pPr>
              <w:pStyle w:val="178"/>
            </w:pPr>
          </w:p>
        </w:tc>
        <w:tc>
          <w:tcPr>
            <w:tcW w:w="870" w:type="dxa"/>
            <w:shd w:val="clear" w:color="auto" w:fill="auto"/>
            <w:vAlign w:val="center"/>
          </w:tcPr>
          <w:p w14:paraId="7BFD82D2">
            <w:pPr>
              <w:pStyle w:val="178"/>
            </w:pPr>
          </w:p>
        </w:tc>
        <w:tc>
          <w:tcPr>
            <w:tcW w:w="870" w:type="dxa"/>
            <w:shd w:val="clear" w:color="auto" w:fill="auto"/>
            <w:vAlign w:val="center"/>
          </w:tcPr>
          <w:p w14:paraId="711BB7A7">
            <w:pPr>
              <w:pStyle w:val="178"/>
            </w:pPr>
          </w:p>
        </w:tc>
        <w:tc>
          <w:tcPr>
            <w:tcW w:w="870" w:type="dxa"/>
            <w:shd w:val="clear" w:color="auto" w:fill="auto"/>
            <w:vAlign w:val="center"/>
          </w:tcPr>
          <w:p w14:paraId="239AC795">
            <w:pPr>
              <w:pStyle w:val="178"/>
            </w:pPr>
          </w:p>
        </w:tc>
        <w:tc>
          <w:tcPr>
            <w:tcW w:w="870" w:type="dxa"/>
            <w:shd w:val="clear" w:color="auto" w:fill="auto"/>
            <w:vAlign w:val="center"/>
          </w:tcPr>
          <w:p w14:paraId="3BE7F645">
            <w:pPr>
              <w:pStyle w:val="178"/>
            </w:pPr>
          </w:p>
        </w:tc>
      </w:tr>
      <w:tr w14:paraId="72DBD24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70" w:type="dxa"/>
            <w:shd w:val="clear" w:color="auto" w:fill="auto"/>
            <w:vAlign w:val="center"/>
          </w:tcPr>
          <w:p w14:paraId="3CAC7740">
            <w:pPr>
              <w:pStyle w:val="178"/>
            </w:pPr>
          </w:p>
        </w:tc>
        <w:tc>
          <w:tcPr>
            <w:tcW w:w="870" w:type="dxa"/>
            <w:shd w:val="clear" w:color="auto" w:fill="auto"/>
            <w:vAlign w:val="center"/>
          </w:tcPr>
          <w:p w14:paraId="26E46A7F">
            <w:pPr>
              <w:pStyle w:val="178"/>
            </w:pPr>
          </w:p>
        </w:tc>
        <w:tc>
          <w:tcPr>
            <w:tcW w:w="870" w:type="dxa"/>
            <w:shd w:val="clear" w:color="auto" w:fill="auto"/>
            <w:vAlign w:val="center"/>
          </w:tcPr>
          <w:p w14:paraId="08D20864">
            <w:pPr>
              <w:pStyle w:val="178"/>
            </w:pPr>
          </w:p>
        </w:tc>
        <w:tc>
          <w:tcPr>
            <w:tcW w:w="870" w:type="dxa"/>
            <w:shd w:val="clear" w:color="auto" w:fill="auto"/>
            <w:vAlign w:val="center"/>
          </w:tcPr>
          <w:p w14:paraId="379771B6">
            <w:pPr>
              <w:pStyle w:val="178"/>
            </w:pPr>
          </w:p>
        </w:tc>
        <w:tc>
          <w:tcPr>
            <w:tcW w:w="870" w:type="dxa"/>
            <w:shd w:val="clear" w:color="auto" w:fill="auto"/>
            <w:vAlign w:val="center"/>
          </w:tcPr>
          <w:p w14:paraId="209B55CB">
            <w:pPr>
              <w:pStyle w:val="178"/>
            </w:pPr>
          </w:p>
        </w:tc>
        <w:tc>
          <w:tcPr>
            <w:tcW w:w="870" w:type="dxa"/>
            <w:shd w:val="clear" w:color="auto" w:fill="auto"/>
            <w:vAlign w:val="center"/>
          </w:tcPr>
          <w:p w14:paraId="7A92826F">
            <w:pPr>
              <w:pStyle w:val="178"/>
            </w:pPr>
          </w:p>
        </w:tc>
        <w:tc>
          <w:tcPr>
            <w:tcW w:w="870" w:type="dxa"/>
            <w:shd w:val="clear" w:color="auto" w:fill="auto"/>
            <w:vAlign w:val="center"/>
          </w:tcPr>
          <w:p w14:paraId="5EB6DB53">
            <w:pPr>
              <w:pStyle w:val="178"/>
            </w:pPr>
          </w:p>
        </w:tc>
        <w:tc>
          <w:tcPr>
            <w:tcW w:w="870" w:type="dxa"/>
            <w:shd w:val="clear" w:color="auto" w:fill="auto"/>
            <w:vAlign w:val="center"/>
          </w:tcPr>
          <w:p w14:paraId="3032103E">
            <w:pPr>
              <w:pStyle w:val="178"/>
            </w:pPr>
          </w:p>
        </w:tc>
        <w:tc>
          <w:tcPr>
            <w:tcW w:w="870" w:type="dxa"/>
            <w:shd w:val="clear" w:color="auto" w:fill="auto"/>
            <w:vAlign w:val="center"/>
          </w:tcPr>
          <w:p w14:paraId="6F6D5E04">
            <w:pPr>
              <w:pStyle w:val="178"/>
            </w:pPr>
          </w:p>
        </w:tc>
        <w:tc>
          <w:tcPr>
            <w:tcW w:w="870" w:type="dxa"/>
            <w:shd w:val="clear" w:color="auto" w:fill="auto"/>
            <w:vAlign w:val="center"/>
          </w:tcPr>
          <w:p w14:paraId="2EDBDCBE">
            <w:pPr>
              <w:pStyle w:val="178"/>
            </w:pPr>
          </w:p>
        </w:tc>
        <w:tc>
          <w:tcPr>
            <w:tcW w:w="870" w:type="dxa"/>
            <w:shd w:val="clear" w:color="auto" w:fill="auto"/>
            <w:vAlign w:val="center"/>
          </w:tcPr>
          <w:p w14:paraId="33F461E2">
            <w:pPr>
              <w:pStyle w:val="178"/>
            </w:pPr>
          </w:p>
        </w:tc>
      </w:tr>
    </w:tbl>
    <w:p w14:paraId="24116A9F">
      <w:pPr>
        <w:pStyle w:val="56"/>
        <w:ind w:firstLine="420"/>
      </w:pPr>
    </w:p>
    <w:p w14:paraId="5F4FE3E0">
      <w:pPr>
        <w:pStyle w:val="77"/>
        <w:spacing w:before="156" w:after="156"/>
      </w:pPr>
      <w:r>
        <w:rPr>
          <w:rFonts w:hint="eastAsia"/>
        </w:rPr>
        <w:t>蹄病发生记录</w:t>
      </w:r>
    </w:p>
    <w:p w14:paraId="6380CEC6">
      <w:pPr>
        <w:pStyle w:val="199"/>
      </w:pPr>
      <w:r>
        <w:rPr>
          <w:rFonts w:hint="eastAsia"/>
        </w:rPr>
        <w:t>填表时间：   年  月   日</w:t>
      </w:r>
    </w:p>
    <w:tbl>
      <w:tblPr>
        <w:tblStyle w:val="230"/>
        <w:tblW w:w="87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1089"/>
        <w:gridCol w:w="1089"/>
        <w:gridCol w:w="1089"/>
        <w:gridCol w:w="1089"/>
        <w:gridCol w:w="1089"/>
        <w:gridCol w:w="1090"/>
        <w:gridCol w:w="1090"/>
      </w:tblGrid>
      <w:tr w14:paraId="76424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1089" w:type="dxa"/>
            <w:tcBorders>
              <w:top w:val="single" w:color="auto" w:sz="4" w:space="0"/>
              <w:left w:val="single" w:color="auto" w:sz="4" w:space="0"/>
              <w:bottom w:val="single" w:color="auto" w:sz="4" w:space="0"/>
              <w:right w:val="single" w:color="auto" w:sz="4" w:space="0"/>
            </w:tcBorders>
            <w:vAlign w:val="center"/>
          </w:tcPr>
          <w:p w14:paraId="17323670">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牛号</w:t>
            </w:r>
          </w:p>
        </w:tc>
        <w:tc>
          <w:tcPr>
            <w:tcW w:w="1089" w:type="dxa"/>
            <w:tcBorders>
              <w:top w:val="single" w:color="auto" w:sz="4" w:space="0"/>
              <w:left w:val="single" w:color="auto" w:sz="4" w:space="0"/>
              <w:bottom w:val="single" w:color="auto" w:sz="4" w:space="0"/>
              <w:right w:val="single" w:color="auto" w:sz="4" w:space="0"/>
            </w:tcBorders>
            <w:vAlign w:val="center"/>
          </w:tcPr>
          <w:p w14:paraId="10C2A2A5">
            <w:pPr>
              <w:adjustRightInd/>
              <w:spacing w:line="240" w:lineRule="auto"/>
              <w:jc w:val="center"/>
              <w:rPr>
                <w:rFonts w:ascii="Times New Roman" w:hAnsi="Times New Roman" w:eastAsia="Times New Roman"/>
                <w:sz w:val="18"/>
                <w:szCs w:val="18"/>
              </w:rPr>
            </w:pPr>
          </w:p>
        </w:tc>
        <w:tc>
          <w:tcPr>
            <w:tcW w:w="1089" w:type="dxa"/>
            <w:tcBorders>
              <w:top w:val="single" w:color="auto" w:sz="4" w:space="0"/>
              <w:left w:val="single" w:color="auto" w:sz="4" w:space="0"/>
              <w:bottom w:val="single" w:color="auto" w:sz="4" w:space="0"/>
              <w:right w:val="single" w:color="auto" w:sz="4" w:space="0"/>
            </w:tcBorders>
            <w:vAlign w:val="center"/>
          </w:tcPr>
          <w:p w14:paraId="05E3C42B">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品种</w:t>
            </w:r>
          </w:p>
        </w:tc>
        <w:tc>
          <w:tcPr>
            <w:tcW w:w="1089" w:type="dxa"/>
            <w:tcBorders>
              <w:top w:val="single" w:color="auto" w:sz="4" w:space="0"/>
              <w:left w:val="single" w:color="auto" w:sz="4" w:space="0"/>
              <w:bottom w:val="single" w:color="auto" w:sz="4" w:space="0"/>
              <w:right w:val="single" w:color="auto" w:sz="4" w:space="0"/>
            </w:tcBorders>
            <w:vAlign w:val="center"/>
          </w:tcPr>
          <w:p w14:paraId="68EA9D7A">
            <w:pPr>
              <w:adjustRightInd/>
              <w:spacing w:line="240" w:lineRule="auto"/>
              <w:jc w:val="center"/>
              <w:rPr>
                <w:rFonts w:ascii="Times New Roman" w:hAnsi="Times New Roman" w:eastAsia="Times New Roman"/>
                <w:sz w:val="18"/>
                <w:szCs w:val="18"/>
              </w:rPr>
            </w:pPr>
          </w:p>
        </w:tc>
        <w:tc>
          <w:tcPr>
            <w:tcW w:w="1089" w:type="dxa"/>
            <w:tcBorders>
              <w:top w:val="single" w:color="auto" w:sz="4" w:space="0"/>
              <w:left w:val="single" w:color="auto" w:sz="4" w:space="0"/>
              <w:bottom w:val="single" w:color="auto" w:sz="4" w:space="0"/>
              <w:right w:val="single" w:color="auto" w:sz="4" w:space="0"/>
            </w:tcBorders>
            <w:vAlign w:val="center"/>
          </w:tcPr>
          <w:p w14:paraId="5D656F15">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年龄</w:t>
            </w:r>
          </w:p>
        </w:tc>
        <w:tc>
          <w:tcPr>
            <w:tcW w:w="1089" w:type="dxa"/>
            <w:tcBorders>
              <w:top w:val="single" w:color="auto" w:sz="4" w:space="0"/>
              <w:left w:val="single" w:color="auto" w:sz="4" w:space="0"/>
              <w:bottom w:val="single" w:color="auto" w:sz="4" w:space="0"/>
              <w:right w:val="single" w:color="auto" w:sz="4" w:space="0"/>
            </w:tcBorders>
            <w:vAlign w:val="center"/>
          </w:tcPr>
          <w:p w14:paraId="154720A4">
            <w:pPr>
              <w:adjustRightInd/>
              <w:spacing w:line="240" w:lineRule="auto"/>
              <w:jc w:val="center"/>
              <w:rPr>
                <w:rFonts w:ascii="Times New Roman" w:hAnsi="Times New Roman" w:eastAsia="Times New Roman"/>
                <w:sz w:val="18"/>
                <w:szCs w:val="18"/>
              </w:rPr>
            </w:pPr>
          </w:p>
        </w:tc>
        <w:tc>
          <w:tcPr>
            <w:tcW w:w="1090" w:type="dxa"/>
            <w:tcBorders>
              <w:top w:val="single" w:color="auto" w:sz="4" w:space="0"/>
              <w:left w:val="single" w:color="auto" w:sz="4" w:space="0"/>
              <w:bottom w:val="single" w:color="auto" w:sz="4" w:space="0"/>
              <w:right w:val="single" w:color="auto" w:sz="4" w:space="0"/>
            </w:tcBorders>
            <w:vAlign w:val="center"/>
          </w:tcPr>
          <w:p w14:paraId="22673AFD">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性别</w:t>
            </w:r>
          </w:p>
        </w:tc>
        <w:tc>
          <w:tcPr>
            <w:tcW w:w="1090" w:type="dxa"/>
            <w:tcBorders>
              <w:top w:val="single" w:color="auto" w:sz="4" w:space="0"/>
              <w:left w:val="single" w:color="auto" w:sz="4" w:space="0"/>
              <w:bottom w:val="single" w:color="auto" w:sz="4" w:space="0"/>
              <w:right w:val="single" w:color="auto" w:sz="4" w:space="0"/>
            </w:tcBorders>
            <w:vAlign w:val="center"/>
          </w:tcPr>
          <w:p w14:paraId="49FFB0AF">
            <w:pPr>
              <w:adjustRightInd/>
              <w:spacing w:line="240" w:lineRule="auto"/>
              <w:jc w:val="center"/>
              <w:rPr>
                <w:rFonts w:ascii="Times New Roman" w:hAnsi="Times New Roman" w:eastAsia="Times New Roman"/>
                <w:sz w:val="18"/>
                <w:szCs w:val="18"/>
              </w:rPr>
            </w:pPr>
          </w:p>
        </w:tc>
      </w:tr>
      <w:tr w14:paraId="77EE0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089" w:type="dxa"/>
            <w:tcBorders>
              <w:top w:val="single" w:color="auto" w:sz="4" w:space="0"/>
              <w:left w:val="single" w:color="auto" w:sz="4" w:space="0"/>
              <w:bottom w:val="single" w:color="auto" w:sz="4" w:space="0"/>
              <w:right w:val="single" w:color="auto" w:sz="4" w:space="0"/>
            </w:tcBorders>
            <w:vAlign w:val="center"/>
          </w:tcPr>
          <w:p w14:paraId="1C308B4A">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圈舍</w:t>
            </w:r>
          </w:p>
        </w:tc>
        <w:tc>
          <w:tcPr>
            <w:tcW w:w="1089" w:type="dxa"/>
            <w:tcBorders>
              <w:top w:val="single" w:color="auto" w:sz="4" w:space="0"/>
              <w:left w:val="single" w:color="auto" w:sz="4" w:space="0"/>
              <w:bottom w:val="single" w:color="auto" w:sz="4" w:space="0"/>
              <w:right w:val="single" w:color="auto" w:sz="4" w:space="0"/>
            </w:tcBorders>
            <w:vAlign w:val="center"/>
          </w:tcPr>
          <w:p w14:paraId="0A84BCB2">
            <w:pPr>
              <w:adjustRightInd/>
              <w:spacing w:line="240" w:lineRule="auto"/>
              <w:jc w:val="center"/>
              <w:rPr>
                <w:rFonts w:ascii="Times New Roman" w:hAnsi="Times New Roman" w:eastAsia="Times New Roman"/>
                <w:sz w:val="18"/>
                <w:szCs w:val="18"/>
              </w:rPr>
            </w:pPr>
          </w:p>
        </w:tc>
        <w:tc>
          <w:tcPr>
            <w:tcW w:w="1089" w:type="dxa"/>
            <w:tcBorders>
              <w:top w:val="single" w:color="auto" w:sz="4" w:space="0"/>
              <w:left w:val="single" w:color="auto" w:sz="4" w:space="0"/>
              <w:bottom w:val="single" w:color="auto" w:sz="4" w:space="0"/>
              <w:right w:val="single" w:color="auto" w:sz="4" w:space="0"/>
            </w:tcBorders>
            <w:vAlign w:val="center"/>
          </w:tcPr>
          <w:p w14:paraId="1E4CFB82">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饲养员</w:t>
            </w:r>
          </w:p>
        </w:tc>
        <w:tc>
          <w:tcPr>
            <w:tcW w:w="1089" w:type="dxa"/>
            <w:tcBorders>
              <w:top w:val="single" w:color="auto" w:sz="4" w:space="0"/>
              <w:left w:val="single" w:color="auto" w:sz="4" w:space="0"/>
              <w:bottom w:val="single" w:color="auto" w:sz="4" w:space="0"/>
              <w:right w:val="single" w:color="auto" w:sz="4" w:space="0"/>
            </w:tcBorders>
            <w:vAlign w:val="center"/>
          </w:tcPr>
          <w:p w14:paraId="0CA90F38">
            <w:pPr>
              <w:adjustRightInd/>
              <w:spacing w:line="240" w:lineRule="auto"/>
              <w:jc w:val="center"/>
              <w:rPr>
                <w:rFonts w:ascii="Times New Roman" w:hAnsi="Times New Roman" w:eastAsia="Times New Roman"/>
                <w:sz w:val="18"/>
                <w:szCs w:val="18"/>
              </w:rPr>
            </w:pPr>
          </w:p>
        </w:tc>
        <w:tc>
          <w:tcPr>
            <w:tcW w:w="1089" w:type="dxa"/>
            <w:tcBorders>
              <w:top w:val="single" w:color="auto" w:sz="4" w:space="0"/>
              <w:left w:val="single" w:color="auto" w:sz="4" w:space="0"/>
              <w:bottom w:val="single" w:color="auto" w:sz="4" w:space="0"/>
              <w:right w:val="single" w:color="auto" w:sz="4" w:space="0"/>
            </w:tcBorders>
            <w:vAlign w:val="center"/>
          </w:tcPr>
          <w:p w14:paraId="5C8698BB">
            <w:pPr>
              <w:adjustRightInd/>
              <w:spacing w:line="240" w:lineRule="auto"/>
              <w:rPr>
                <w:rFonts w:ascii="Times New Roman" w:hAnsi="Times New Roman" w:eastAsia="Times New Roman"/>
                <w:sz w:val="18"/>
                <w:szCs w:val="18"/>
              </w:rPr>
            </w:pPr>
            <w:r>
              <w:rPr>
                <w:rFonts w:hint="eastAsia" w:ascii="宋体" w:hAnsi="宋体" w:eastAsia="Times New Roman" w:cs="宋体"/>
                <w:sz w:val="18"/>
                <w:szCs w:val="18"/>
              </w:rPr>
              <w:t>发生时间</w:t>
            </w:r>
          </w:p>
        </w:tc>
        <w:tc>
          <w:tcPr>
            <w:tcW w:w="1089" w:type="dxa"/>
            <w:tcBorders>
              <w:top w:val="single" w:color="auto" w:sz="4" w:space="0"/>
              <w:left w:val="single" w:color="auto" w:sz="4" w:space="0"/>
              <w:bottom w:val="single" w:color="auto" w:sz="4" w:space="0"/>
              <w:right w:val="single" w:color="auto" w:sz="4" w:space="0"/>
            </w:tcBorders>
            <w:vAlign w:val="center"/>
          </w:tcPr>
          <w:p w14:paraId="10F53B8E">
            <w:pPr>
              <w:adjustRightInd/>
              <w:spacing w:line="240" w:lineRule="auto"/>
              <w:jc w:val="center"/>
              <w:rPr>
                <w:rFonts w:ascii="Times New Roman" w:hAnsi="Times New Roman" w:eastAsia="Times New Roman"/>
                <w:sz w:val="18"/>
                <w:szCs w:val="18"/>
              </w:rPr>
            </w:pPr>
          </w:p>
        </w:tc>
        <w:tc>
          <w:tcPr>
            <w:tcW w:w="1090" w:type="dxa"/>
            <w:tcBorders>
              <w:top w:val="single" w:color="auto" w:sz="4" w:space="0"/>
              <w:left w:val="single" w:color="auto" w:sz="4" w:space="0"/>
              <w:bottom w:val="single" w:color="auto" w:sz="4" w:space="0"/>
              <w:right w:val="single" w:color="auto" w:sz="4" w:space="0"/>
            </w:tcBorders>
            <w:vAlign w:val="center"/>
          </w:tcPr>
          <w:p w14:paraId="1D18C6AE">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记录人</w:t>
            </w:r>
          </w:p>
        </w:tc>
        <w:tc>
          <w:tcPr>
            <w:tcW w:w="1090" w:type="dxa"/>
            <w:tcBorders>
              <w:top w:val="single" w:color="auto" w:sz="4" w:space="0"/>
              <w:left w:val="single" w:color="auto" w:sz="4" w:space="0"/>
              <w:bottom w:val="single" w:color="auto" w:sz="4" w:space="0"/>
              <w:right w:val="single" w:color="auto" w:sz="4" w:space="0"/>
            </w:tcBorders>
            <w:vAlign w:val="center"/>
          </w:tcPr>
          <w:p w14:paraId="2EE89C47">
            <w:pPr>
              <w:adjustRightInd/>
              <w:spacing w:line="240" w:lineRule="auto"/>
              <w:jc w:val="center"/>
              <w:rPr>
                <w:rFonts w:ascii="Times New Roman" w:hAnsi="Times New Roman" w:eastAsia="Times New Roman"/>
                <w:sz w:val="18"/>
                <w:szCs w:val="18"/>
              </w:rPr>
            </w:pPr>
          </w:p>
        </w:tc>
      </w:tr>
      <w:tr w14:paraId="6D131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1089" w:type="dxa"/>
            <w:tcBorders>
              <w:top w:val="single" w:color="auto" w:sz="4" w:space="0"/>
              <w:left w:val="single" w:color="auto" w:sz="4" w:space="0"/>
              <w:bottom w:val="single" w:color="auto" w:sz="4" w:space="0"/>
              <w:right w:val="single" w:color="auto" w:sz="4" w:space="0"/>
            </w:tcBorders>
            <w:vAlign w:val="center"/>
          </w:tcPr>
          <w:p w14:paraId="75192ED7">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发生</w:t>
            </w:r>
          </w:p>
          <w:p w14:paraId="6D55BBCD">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情况</w:t>
            </w:r>
          </w:p>
        </w:tc>
        <w:tc>
          <w:tcPr>
            <w:tcW w:w="7625" w:type="dxa"/>
            <w:gridSpan w:val="7"/>
            <w:tcBorders>
              <w:top w:val="single" w:color="auto" w:sz="4" w:space="0"/>
              <w:left w:val="nil"/>
              <w:bottom w:val="single" w:color="auto" w:sz="4" w:space="0"/>
              <w:right w:val="single" w:color="auto" w:sz="4" w:space="0"/>
            </w:tcBorders>
          </w:tcPr>
          <w:p w14:paraId="6E634FA3">
            <w:pPr>
              <w:adjustRightInd/>
              <w:spacing w:line="240" w:lineRule="auto"/>
              <w:rPr>
                <w:rFonts w:ascii="Times New Roman" w:hAnsi="Times New Roman" w:eastAsia="Times New Roman"/>
                <w:sz w:val="18"/>
                <w:szCs w:val="18"/>
              </w:rPr>
            </w:pPr>
          </w:p>
        </w:tc>
      </w:tr>
      <w:tr w14:paraId="732F5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trPr>
        <w:tc>
          <w:tcPr>
            <w:tcW w:w="1089" w:type="dxa"/>
            <w:tcBorders>
              <w:top w:val="single" w:color="auto" w:sz="4" w:space="0"/>
              <w:left w:val="single" w:color="auto" w:sz="4" w:space="0"/>
              <w:bottom w:val="single" w:color="auto" w:sz="4" w:space="0"/>
              <w:right w:val="single" w:color="auto" w:sz="4" w:space="0"/>
            </w:tcBorders>
            <w:vAlign w:val="center"/>
          </w:tcPr>
          <w:p w14:paraId="264418FF">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导致蹄病的原因</w:t>
            </w:r>
          </w:p>
        </w:tc>
        <w:tc>
          <w:tcPr>
            <w:tcW w:w="7625" w:type="dxa"/>
            <w:gridSpan w:val="7"/>
            <w:tcBorders>
              <w:top w:val="single" w:color="auto" w:sz="4" w:space="0"/>
              <w:left w:val="nil"/>
              <w:bottom w:val="single" w:color="auto" w:sz="4" w:space="0"/>
              <w:right w:val="single" w:color="auto" w:sz="4" w:space="0"/>
            </w:tcBorders>
          </w:tcPr>
          <w:p w14:paraId="3F3F1746">
            <w:pPr>
              <w:adjustRightInd/>
              <w:spacing w:line="240" w:lineRule="auto"/>
              <w:rPr>
                <w:rFonts w:ascii="Times New Roman" w:hAnsi="Times New Roman" w:eastAsia="Times New Roman"/>
                <w:sz w:val="18"/>
                <w:szCs w:val="18"/>
              </w:rPr>
            </w:pPr>
          </w:p>
        </w:tc>
      </w:tr>
      <w:tr w14:paraId="2B1A7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1089" w:type="dxa"/>
            <w:tcBorders>
              <w:top w:val="single" w:color="auto" w:sz="4" w:space="0"/>
              <w:left w:val="single" w:color="auto" w:sz="4" w:space="0"/>
              <w:bottom w:val="single" w:color="auto" w:sz="4" w:space="0"/>
              <w:right w:val="single" w:color="auto" w:sz="4" w:space="0"/>
            </w:tcBorders>
            <w:vAlign w:val="center"/>
          </w:tcPr>
          <w:p w14:paraId="13D670EE">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矫正计划</w:t>
            </w:r>
          </w:p>
        </w:tc>
        <w:tc>
          <w:tcPr>
            <w:tcW w:w="7625" w:type="dxa"/>
            <w:gridSpan w:val="7"/>
            <w:tcBorders>
              <w:top w:val="single" w:color="auto" w:sz="4" w:space="0"/>
              <w:left w:val="single" w:color="auto" w:sz="4" w:space="0"/>
              <w:bottom w:val="single" w:color="auto" w:sz="4" w:space="0"/>
              <w:right w:val="single" w:color="auto" w:sz="4" w:space="0"/>
            </w:tcBorders>
          </w:tcPr>
          <w:p w14:paraId="66A07975">
            <w:pPr>
              <w:adjustRightInd/>
              <w:spacing w:line="240" w:lineRule="auto"/>
              <w:rPr>
                <w:rFonts w:ascii="Times New Roman" w:hAnsi="Times New Roman" w:eastAsia="Times New Roman"/>
                <w:sz w:val="18"/>
                <w:szCs w:val="18"/>
              </w:rPr>
            </w:pPr>
          </w:p>
        </w:tc>
      </w:tr>
      <w:tr w14:paraId="39808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trPr>
        <w:tc>
          <w:tcPr>
            <w:tcW w:w="1089" w:type="dxa"/>
            <w:tcBorders>
              <w:top w:val="single" w:color="auto" w:sz="4" w:space="0"/>
              <w:left w:val="single" w:color="auto" w:sz="4" w:space="0"/>
              <w:bottom w:val="single" w:color="auto" w:sz="4" w:space="0"/>
              <w:right w:val="single" w:color="auto" w:sz="4" w:space="0"/>
            </w:tcBorders>
            <w:vAlign w:val="center"/>
          </w:tcPr>
          <w:p w14:paraId="5CF9EAD2">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诊疗情况</w:t>
            </w:r>
          </w:p>
        </w:tc>
        <w:tc>
          <w:tcPr>
            <w:tcW w:w="7625" w:type="dxa"/>
            <w:gridSpan w:val="7"/>
            <w:tcBorders>
              <w:top w:val="single" w:color="auto" w:sz="4" w:space="0"/>
              <w:left w:val="single" w:color="auto" w:sz="4" w:space="0"/>
              <w:bottom w:val="single" w:color="auto" w:sz="4" w:space="0"/>
              <w:right w:val="single" w:color="auto" w:sz="4" w:space="0"/>
            </w:tcBorders>
          </w:tcPr>
          <w:p w14:paraId="75F08716">
            <w:pPr>
              <w:adjustRightInd/>
              <w:spacing w:line="240" w:lineRule="auto"/>
              <w:rPr>
                <w:rFonts w:ascii="Times New Roman" w:hAnsi="Times New Roman" w:eastAsia="Times New Roman"/>
                <w:sz w:val="18"/>
                <w:szCs w:val="18"/>
              </w:rPr>
            </w:pPr>
          </w:p>
        </w:tc>
      </w:tr>
    </w:tbl>
    <w:p w14:paraId="6C00A745">
      <w:pPr>
        <w:pStyle w:val="199"/>
      </w:pPr>
      <w:r>
        <w:t xml:space="preserve"> </w:t>
      </w:r>
    </w:p>
    <w:p w14:paraId="4513067F">
      <w:pPr>
        <w:pStyle w:val="56"/>
        <w:ind w:firstLine="420"/>
      </w:pPr>
    </w:p>
    <w:p w14:paraId="3FAF0BCA">
      <w:pPr>
        <w:pStyle w:val="56"/>
        <w:ind w:firstLine="420"/>
      </w:pPr>
    </w:p>
    <w:p w14:paraId="613BA671">
      <w:pPr>
        <w:pStyle w:val="56"/>
        <w:ind w:firstLine="420"/>
        <w:sectPr>
          <w:pgSz w:w="11906" w:h="16838"/>
          <w:pgMar w:top="1928" w:right="1134" w:bottom="1134" w:left="1134" w:header="1418" w:footer="1134" w:gutter="284"/>
          <w:cols w:space="425" w:num="1"/>
          <w:formProt w:val="0"/>
          <w:docGrid w:type="lines" w:linePitch="312" w:charSpace="0"/>
        </w:sectPr>
      </w:pPr>
    </w:p>
    <w:p w14:paraId="46D148A2">
      <w:pPr>
        <w:pStyle w:val="198"/>
        <w:rPr>
          <w:vanish w:val="0"/>
        </w:rPr>
      </w:pPr>
    </w:p>
    <w:p w14:paraId="5A12C38A">
      <w:pPr>
        <w:pStyle w:val="199"/>
        <w:sectPr>
          <w:pgSz w:w="11906" w:h="16838"/>
          <w:pgMar w:top="1928" w:right="1134" w:bottom="1134" w:left="1134" w:header="1418" w:footer="1134" w:gutter="284"/>
          <w:cols w:space="425" w:num="1"/>
          <w:formProt w:val="0"/>
          <w:docGrid w:type="lines" w:linePitch="312" w:charSpace="0"/>
        </w:sectPr>
      </w:pPr>
      <w:r>
        <w:rPr>
          <w:rFonts w:hint="eastAsia"/>
        </w:rPr>
        <w:t>修蹄记录</w:t>
      </w:r>
    </w:p>
    <w:p w14:paraId="7BDCA68C">
      <w:pPr>
        <w:pStyle w:val="198"/>
        <w:rPr>
          <w:vanish w:val="0"/>
        </w:rPr>
      </w:pPr>
    </w:p>
    <w:p w14:paraId="6A37CE98">
      <w:pPr>
        <w:pStyle w:val="199"/>
        <w:rPr>
          <w:vanish w:val="0"/>
        </w:rPr>
      </w:pPr>
    </w:p>
    <w:p w14:paraId="6A85D62A">
      <w:pPr>
        <w:pStyle w:val="76"/>
        <w:spacing w:after="156"/>
      </w:pPr>
      <w:r>
        <w:br w:type="textWrapping"/>
      </w:r>
      <w:bookmarkStart w:id="97" w:name="_Toc195604847"/>
      <w:r>
        <w:rPr>
          <w:rFonts w:hint="eastAsia"/>
        </w:rPr>
        <w:t>（资料性）</w:t>
      </w:r>
      <w:r>
        <w:br w:type="textWrapping"/>
      </w:r>
      <w:r>
        <w:rPr>
          <w:rFonts w:hint="eastAsia"/>
        </w:rPr>
        <w:t>修蹄记录</w:t>
      </w:r>
      <w:bookmarkEnd w:id="97"/>
    </w:p>
    <w:p w14:paraId="0F6B6A04">
      <w:pPr>
        <w:pStyle w:val="77"/>
        <w:numPr>
          <w:ilvl w:val="0"/>
          <w:numId w:val="0"/>
        </w:numPr>
        <w:spacing w:before="156" w:after="156"/>
      </w:pPr>
      <w:r>
        <w:rPr>
          <w:rFonts w:hint="eastAsia"/>
          <w:highlight w:val="lightGray"/>
        </w:rPr>
        <w:t>表B.1</w:t>
      </w:r>
      <w:r>
        <w:rPr>
          <w:rFonts w:hint="eastAsia"/>
        </w:rPr>
        <w:t xml:space="preserve">  修蹄记录</w:t>
      </w:r>
    </w:p>
    <w:p w14:paraId="3ED07B10">
      <w:pPr>
        <w:pStyle w:val="56"/>
        <w:ind w:firstLine="420"/>
        <w:rPr>
          <w:sz w:val="18"/>
          <w:szCs w:val="18"/>
        </w:rPr>
      </w:pPr>
      <w:r>
        <w:rPr>
          <w:rFonts w:hint="eastAsia"/>
        </w:rPr>
        <w:t xml:space="preserve">  </w:t>
      </w:r>
      <w:r>
        <w:rPr>
          <w:rFonts w:hint="eastAsia"/>
          <w:sz w:val="18"/>
          <w:szCs w:val="18"/>
        </w:rPr>
        <w:t xml:space="preserve">                                                            </w:t>
      </w:r>
      <w:r>
        <w:rPr>
          <w:rFonts w:hint="eastAsia" w:hAnsi="宋体"/>
          <w:sz w:val="18"/>
          <w:szCs w:val="18"/>
        </w:rPr>
        <w:t>填表时间：</w:t>
      </w:r>
      <w:r>
        <w:rPr>
          <w:rFonts w:hint="eastAsia"/>
          <w:sz w:val="18"/>
          <w:szCs w:val="18"/>
        </w:rPr>
        <w:t xml:space="preserve"> </w:t>
      </w:r>
      <w:r>
        <w:rPr>
          <w:rFonts w:hint="eastAsia" w:hAnsi="宋体"/>
          <w:sz w:val="18"/>
          <w:szCs w:val="18"/>
        </w:rPr>
        <w:t>年</w:t>
      </w:r>
      <w:r>
        <w:rPr>
          <w:rFonts w:hint="eastAsia"/>
          <w:sz w:val="18"/>
          <w:szCs w:val="18"/>
        </w:rPr>
        <w:t xml:space="preserve">  </w:t>
      </w:r>
      <w:r>
        <w:rPr>
          <w:rFonts w:hint="eastAsia" w:hAnsi="宋体"/>
          <w:sz w:val="18"/>
          <w:szCs w:val="18"/>
        </w:rPr>
        <w:t>月</w:t>
      </w:r>
      <w:r>
        <w:rPr>
          <w:rFonts w:hint="eastAsia"/>
          <w:sz w:val="18"/>
          <w:szCs w:val="18"/>
        </w:rPr>
        <w:t xml:space="preserve">   </w:t>
      </w:r>
      <w:r>
        <w:rPr>
          <w:rFonts w:hint="eastAsia" w:hAnsi="宋体"/>
          <w:sz w:val="18"/>
          <w:szCs w:val="18"/>
        </w:rPr>
        <w:t>日</w:t>
      </w:r>
    </w:p>
    <w:tbl>
      <w:tblPr>
        <w:tblStyle w:val="231"/>
        <w:tblW w:w="87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1089"/>
        <w:gridCol w:w="1089"/>
        <w:gridCol w:w="1089"/>
        <w:gridCol w:w="1510"/>
        <w:gridCol w:w="668"/>
        <w:gridCol w:w="1090"/>
        <w:gridCol w:w="1090"/>
      </w:tblGrid>
      <w:tr w14:paraId="507BC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089" w:type="dxa"/>
            <w:tcBorders>
              <w:top w:val="single" w:color="auto" w:sz="4" w:space="0"/>
              <w:left w:val="single" w:color="auto" w:sz="4" w:space="0"/>
              <w:bottom w:val="single" w:color="auto" w:sz="4" w:space="0"/>
              <w:right w:val="single" w:color="auto" w:sz="4" w:space="0"/>
            </w:tcBorders>
            <w:vAlign w:val="center"/>
          </w:tcPr>
          <w:p w14:paraId="1FB29287">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牛号</w:t>
            </w:r>
          </w:p>
        </w:tc>
        <w:tc>
          <w:tcPr>
            <w:tcW w:w="1089" w:type="dxa"/>
            <w:tcBorders>
              <w:top w:val="single" w:color="auto" w:sz="4" w:space="0"/>
              <w:left w:val="single" w:color="auto" w:sz="4" w:space="0"/>
              <w:bottom w:val="single" w:color="auto" w:sz="4" w:space="0"/>
              <w:right w:val="single" w:color="auto" w:sz="4" w:space="0"/>
            </w:tcBorders>
            <w:vAlign w:val="center"/>
          </w:tcPr>
          <w:p w14:paraId="57363B90">
            <w:pPr>
              <w:adjustRightInd/>
              <w:spacing w:line="240" w:lineRule="auto"/>
              <w:jc w:val="center"/>
              <w:rPr>
                <w:rFonts w:ascii="Times New Roman" w:hAnsi="Times New Roman" w:eastAsia="Times New Roman"/>
                <w:sz w:val="18"/>
                <w:szCs w:val="18"/>
              </w:rPr>
            </w:pPr>
          </w:p>
        </w:tc>
        <w:tc>
          <w:tcPr>
            <w:tcW w:w="1089" w:type="dxa"/>
            <w:tcBorders>
              <w:top w:val="single" w:color="auto" w:sz="4" w:space="0"/>
              <w:left w:val="single" w:color="auto" w:sz="4" w:space="0"/>
              <w:bottom w:val="single" w:color="auto" w:sz="4" w:space="0"/>
              <w:right w:val="single" w:color="auto" w:sz="4" w:space="0"/>
            </w:tcBorders>
            <w:vAlign w:val="center"/>
          </w:tcPr>
          <w:p w14:paraId="0B18D96D">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品种</w:t>
            </w:r>
          </w:p>
        </w:tc>
        <w:tc>
          <w:tcPr>
            <w:tcW w:w="1089" w:type="dxa"/>
            <w:tcBorders>
              <w:top w:val="single" w:color="auto" w:sz="4" w:space="0"/>
              <w:left w:val="single" w:color="auto" w:sz="4" w:space="0"/>
              <w:bottom w:val="single" w:color="auto" w:sz="4" w:space="0"/>
              <w:right w:val="single" w:color="auto" w:sz="4" w:space="0"/>
            </w:tcBorders>
            <w:vAlign w:val="center"/>
          </w:tcPr>
          <w:p w14:paraId="3F443B2A">
            <w:pPr>
              <w:adjustRightInd/>
              <w:spacing w:line="240" w:lineRule="auto"/>
              <w:jc w:val="center"/>
              <w:rPr>
                <w:rFonts w:ascii="Times New Roman" w:hAnsi="Times New Roman" w:eastAsia="Times New Roman"/>
                <w:sz w:val="18"/>
                <w:szCs w:val="18"/>
              </w:rPr>
            </w:pPr>
          </w:p>
        </w:tc>
        <w:tc>
          <w:tcPr>
            <w:tcW w:w="1510" w:type="dxa"/>
            <w:tcBorders>
              <w:top w:val="single" w:color="auto" w:sz="4" w:space="0"/>
              <w:left w:val="single" w:color="auto" w:sz="4" w:space="0"/>
              <w:bottom w:val="single" w:color="auto" w:sz="4" w:space="0"/>
              <w:right w:val="single" w:color="auto" w:sz="4" w:space="0"/>
            </w:tcBorders>
            <w:vAlign w:val="center"/>
          </w:tcPr>
          <w:p w14:paraId="79AFC1B8">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年龄</w:t>
            </w:r>
          </w:p>
        </w:tc>
        <w:tc>
          <w:tcPr>
            <w:tcW w:w="668" w:type="dxa"/>
            <w:tcBorders>
              <w:top w:val="single" w:color="auto" w:sz="4" w:space="0"/>
              <w:left w:val="single" w:color="auto" w:sz="4" w:space="0"/>
              <w:bottom w:val="single" w:color="auto" w:sz="4" w:space="0"/>
              <w:right w:val="single" w:color="auto" w:sz="4" w:space="0"/>
            </w:tcBorders>
            <w:vAlign w:val="center"/>
          </w:tcPr>
          <w:p w14:paraId="0207E29A">
            <w:pPr>
              <w:adjustRightInd/>
              <w:spacing w:line="240" w:lineRule="auto"/>
              <w:jc w:val="center"/>
              <w:rPr>
                <w:rFonts w:ascii="Times New Roman" w:hAnsi="Times New Roman" w:eastAsia="Times New Roman"/>
                <w:sz w:val="18"/>
                <w:szCs w:val="18"/>
              </w:rPr>
            </w:pPr>
          </w:p>
        </w:tc>
        <w:tc>
          <w:tcPr>
            <w:tcW w:w="1090" w:type="dxa"/>
            <w:tcBorders>
              <w:top w:val="single" w:color="auto" w:sz="4" w:space="0"/>
              <w:left w:val="single" w:color="auto" w:sz="4" w:space="0"/>
              <w:bottom w:val="single" w:color="auto" w:sz="4" w:space="0"/>
              <w:right w:val="single" w:color="auto" w:sz="4" w:space="0"/>
            </w:tcBorders>
            <w:vAlign w:val="center"/>
          </w:tcPr>
          <w:p w14:paraId="63D58D80">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性别</w:t>
            </w:r>
          </w:p>
        </w:tc>
        <w:tc>
          <w:tcPr>
            <w:tcW w:w="1090" w:type="dxa"/>
            <w:tcBorders>
              <w:top w:val="single" w:color="auto" w:sz="4" w:space="0"/>
              <w:left w:val="single" w:color="auto" w:sz="4" w:space="0"/>
              <w:bottom w:val="single" w:color="auto" w:sz="4" w:space="0"/>
              <w:right w:val="single" w:color="auto" w:sz="4" w:space="0"/>
            </w:tcBorders>
            <w:vAlign w:val="center"/>
          </w:tcPr>
          <w:p w14:paraId="26EA339A">
            <w:pPr>
              <w:adjustRightInd/>
              <w:spacing w:line="240" w:lineRule="auto"/>
              <w:jc w:val="center"/>
              <w:rPr>
                <w:rFonts w:ascii="Times New Roman" w:hAnsi="Times New Roman" w:eastAsia="Times New Roman"/>
                <w:sz w:val="18"/>
                <w:szCs w:val="18"/>
              </w:rPr>
            </w:pPr>
          </w:p>
        </w:tc>
      </w:tr>
      <w:tr w14:paraId="73523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1089" w:type="dxa"/>
            <w:tcBorders>
              <w:top w:val="single" w:color="auto" w:sz="4" w:space="0"/>
              <w:left w:val="single" w:color="auto" w:sz="4" w:space="0"/>
              <w:bottom w:val="single" w:color="auto" w:sz="4" w:space="0"/>
              <w:right w:val="single" w:color="auto" w:sz="4" w:space="0"/>
            </w:tcBorders>
            <w:vAlign w:val="center"/>
          </w:tcPr>
          <w:p w14:paraId="3BA8F9FF">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圈舍</w:t>
            </w:r>
          </w:p>
        </w:tc>
        <w:tc>
          <w:tcPr>
            <w:tcW w:w="1089" w:type="dxa"/>
            <w:tcBorders>
              <w:top w:val="single" w:color="auto" w:sz="4" w:space="0"/>
              <w:left w:val="single" w:color="auto" w:sz="4" w:space="0"/>
              <w:bottom w:val="single" w:color="auto" w:sz="4" w:space="0"/>
              <w:right w:val="single" w:color="auto" w:sz="4" w:space="0"/>
            </w:tcBorders>
            <w:vAlign w:val="center"/>
          </w:tcPr>
          <w:p w14:paraId="1E4EE153">
            <w:pPr>
              <w:adjustRightInd/>
              <w:spacing w:line="240" w:lineRule="auto"/>
              <w:jc w:val="center"/>
              <w:rPr>
                <w:rFonts w:ascii="Times New Roman" w:hAnsi="Times New Roman" w:eastAsia="Times New Roman"/>
                <w:sz w:val="18"/>
                <w:szCs w:val="18"/>
              </w:rPr>
            </w:pPr>
          </w:p>
        </w:tc>
        <w:tc>
          <w:tcPr>
            <w:tcW w:w="1089" w:type="dxa"/>
            <w:tcBorders>
              <w:top w:val="single" w:color="auto" w:sz="4" w:space="0"/>
              <w:left w:val="single" w:color="auto" w:sz="4" w:space="0"/>
              <w:bottom w:val="single" w:color="auto" w:sz="4" w:space="0"/>
              <w:right w:val="single" w:color="auto" w:sz="4" w:space="0"/>
            </w:tcBorders>
            <w:vAlign w:val="center"/>
          </w:tcPr>
          <w:p w14:paraId="7D3A81B0">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饲养员</w:t>
            </w:r>
          </w:p>
        </w:tc>
        <w:tc>
          <w:tcPr>
            <w:tcW w:w="1089" w:type="dxa"/>
            <w:tcBorders>
              <w:top w:val="single" w:color="auto" w:sz="4" w:space="0"/>
              <w:left w:val="single" w:color="auto" w:sz="4" w:space="0"/>
              <w:bottom w:val="single" w:color="auto" w:sz="4" w:space="0"/>
              <w:right w:val="single" w:color="auto" w:sz="4" w:space="0"/>
            </w:tcBorders>
            <w:vAlign w:val="center"/>
          </w:tcPr>
          <w:p w14:paraId="40A3FCAA">
            <w:pPr>
              <w:adjustRightInd/>
              <w:spacing w:line="240" w:lineRule="auto"/>
              <w:jc w:val="center"/>
              <w:rPr>
                <w:rFonts w:ascii="Times New Roman" w:hAnsi="Times New Roman" w:eastAsia="Times New Roman"/>
                <w:sz w:val="18"/>
                <w:szCs w:val="18"/>
              </w:rPr>
            </w:pPr>
          </w:p>
        </w:tc>
        <w:tc>
          <w:tcPr>
            <w:tcW w:w="1510" w:type="dxa"/>
            <w:tcBorders>
              <w:top w:val="single" w:color="auto" w:sz="4" w:space="0"/>
              <w:left w:val="single" w:color="auto" w:sz="4" w:space="0"/>
              <w:bottom w:val="single" w:color="auto" w:sz="4" w:space="0"/>
              <w:right w:val="single" w:color="auto" w:sz="4" w:space="0"/>
            </w:tcBorders>
            <w:vAlign w:val="center"/>
          </w:tcPr>
          <w:p w14:paraId="7F00A97B">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修蹄人签名</w:t>
            </w:r>
          </w:p>
        </w:tc>
        <w:tc>
          <w:tcPr>
            <w:tcW w:w="2848" w:type="dxa"/>
            <w:gridSpan w:val="3"/>
            <w:tcBorders>
              <w:top w:val="single" w:color="auto" w:sz="4" w:space="0"/>
              <w:left w:val="single" w:color="auto" w:sz="4" w:space="0"/>
              <w:bottom w:val="single" w:color="auto" w:sz="4" w:space="0"/>
              <w:right w:val="single" w:color="auto" w:sz="4" w:space="0"/>
            </w:tcBorders>
            <w:vAlign w:val="center"/>
          </w:tcPr>
          <w:p w14:paraId="7038DCE6">
            <w:pPr>
              <w:adjustRightInd/>
              <w:spacing w:line="240" w:lineRule="auto"/>
              <w:jc w:val="center"/>
              <w:rPr>
                <w:rFonts w:ascii="Times New Roman" w:hAnsi="Times New Roman" w:eastAsia="Times New Roman"/>
                <w:sz w:val="18"/>
                <w:szCs w:val="18"/>
              </w:rPr>
            </w:pPr>
          </w:p>
        </w:tc>
      </w:tr>
      <w:tr w14:paraId="7A7D2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089" w:type="dxa"/>
            <w:tcBorders>
              <w:top w:val="single" w:color="auto" w:sz="4" w:space="0"/>
              <w:left w:val="single" w:color="auto" w:sz="4" w:space="0"/>
              <w:bottom w:val="single" w:color="auto" w:sz="4" w:space="0"/>
              <w:right w:val="single" w:color="auto" w:sz="4" w:space="0"/>
            </w:tcBorders>
            <w:vAlign w:val="center"/>
          </w:tcPr>
          <w:p w14:paraId="03946F46">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蹄部</w:t>
            </w:r>
          </w:p>
          <w:p w14:paraId="39FF1209">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情况</w:t>
            </w:r>
          </w:p>
        </w:tc>
        <w:tc>
          <w:tcPr>
            <w:tcW w:w="7625" w:type="dxa"/>
            <w:gridSpan w:val="7"/>
            <w:tcBorders>
              <w:top w:val="single" w:color="auto" w:sz="4" w:space="0"/>
              <w:left w:val="nil"/>
              <w:bottom w:val="single" w:color="auto" w:sz="4" w:space="0"/>
              <w:right w:val="single" w:color="auto" w:sz="4" w:space="0"/>
            </w:tcBorders>
          </w:tcPr>
          <w:p w14:paraId="45AFD579">
            <w:pPr>
              <w:adjustRightInd/>
              <w:spacing w:line="240" w:lineRule="auto"/>
              <w:rPr>
                <w:rFonts w:ascii="Times New Roman" w:hAnsi="Times New Roman" w:eastAsia="Times New Roman"/>
                <w:sz w:val="18"/>
                <w:szCs w:val="18"/>
              </w:rPr>
            </w:pPr>
          </w:p>
        </w:tc>
      </w:tr>
      <w:tr w14:paraId="56463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1089" w:type="dxa"/>
            <w:tcBorders>
              <w:top w:val="single" w:color="auto" w:sz="4" w:space="0"/>
              <w:left w:val="single" w:color="auto" w:sz="4" w:space="0"/>
              <w:bottom w:val="single" w:color="auto" w:sz="4" w:space="0"/>
              <w:right w:val="single" w:color="auto" w:sz="4" w:space="0"/>
            </w:tcBorders>
            <w:vAlign w:val="center"/>
          </w:tcPr>
          <w:p w14:paraId="674F385C">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处理</w:t>
            </w:r>
          </w:p>
          <w:p w14:paraId="05A216F9">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情况</w:t>
            </w:r>
          </w:p>
        </w:tc>
        <w:tc>
          <w:tcPr>
            <w:tcW w:w="7625" w:type="dxa"/>
            <w:gridSpan w:val="7"/>
            <w:tcBorders>
              <w:top w:val="single" w:color="auto" w:sz="4" w:space="0"/>
              <w:left w:val="nil"/>
              <w:bottom w:val="single" w:color="auto" w:sz="4" w:space="0"/>
              <w:right w:val="single" w:color="auto" w:sz="4" w:space="0"/>
            </w:tcBorders>
          </w:tcPr>
          <w:p w14:paraId="4D23C07D">
            <w:pPr>
              <w:adjustRightInd/>
              <w:spacing w:line="240" w:lineRule="auto"/>
              <w:rPr>
                <w:rFonts w:ascii="Times New Roman" w:hAnsi="Times New Roman" w:eastAsia="Times New Roman"/>
                <w:sz w:val="18"/>
                <w:szCs w:val="18"/>
              </w:rPr>
            </w:pPr>
          </w:p>
        </w:tc>
      </w:tr>
      <w:tr w14:paraId="4BB2A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1089" w:type="dxa"/>
            <w:tcBorders>
              <w:top w:val="single" w:color="auto" w:sz="4" w:space="0"/>
              <w:left w:val="single" w:color="auto" w:sz="4" w:space="0"/>
              <w:bottom w:val="single" w:color="auto" w:sz="4" w:space="0"/>
              <w:right w:val="single" w:color="auto" w:sz="4" w:space="0"/>
            </w:tcBorders>
            <w:vAlign w:val="center"/>
          </w:tcPr>
          <w:p w14:paraId="1B1DD45F">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用药</w:t>
            </w:r>
          </w:p>
          <w:p w14:paraId="05AD7345">
            <w:pPr>
              <w:adjustRightInd/>
              <w:spacing w:line="240" w:lineRule="auto"/>
              <w:jc w:val="center"/>
              <w:rPr>
                <w:rFonts w:ascii="Times New Roman" w:hAnsi="Times New Roman" w:eastAsia="Times New Roman"/>
                <w:sz w:val="18"/>
                <w:szCs w:val="18"/>
              </w:rPr>
            </w:pPr>
            <w:r>
              <w:rPr>
                <w:rFonts w:hint="eastAsia" w:ascii="宋体" w:hAnsi="宋体" w:eastAsia="Times New Roman" w:cs="宋体"/>
                <w:sz w:val="18"/>
                <w:szCs w:val="18"/>
              </w:rPr>
              <w:t>情况</w:t>
            </w:r>
          </w:p>
        </w:tc>
        <w:tc>
          <w:tcPr>
            <w:tcW w:w="7625" w:type="dxa"/>
            <w:gridSpan w:val="7"/>
            <w:tcBorders>
              <w:top w:val="single" w:color="auto" w:sz="4" w:space="0"/>
              <w:left w:val="single" w:color="auto" w:sz="4" w:space="0"/>
              <w:bottom w:val="single" w:color="auto" w:sz="4" w:space="0"/>
              <w:right w:val="single" w:color="auto" w:sz="4" w:space="0"/>
            </w:tcBorders>
          </w:tcPr>
          <w:p w14:paraId="76A018B9">
            <w:pPr>
              <w:adjustRightInd/>
              <w:spacing w:line="240" w:lineRule="auto"/>
              <w:rPr>
                <w:rFonts w:ascii="Times New Roman" w:hAnsi="Times New Roman" w:eastAsia="Times New Roman"/>
                <w:sz w:val="18"/>
                <w:szCs w:val="18"/>
              </w:rPr>
            </w:pPr>
          </w:p>
        </w:tc>
      </w:tr>
      <w:tr w14:paraId="029FD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1089" w:type="dxa"/>
            <w:tcBorders>
              <w:top w:val="single" w:color="auto" w:sz="4" w:space="0"/>
              <w:left w:val="single" w:color="auto" w:sz="4" w:space="0"/>
              <w:bottom w:val="single" w:color="auto" w:sz="4" w:space="0"/>
              <w:right w:val="single" w:color="auto" w:sz="4" w:space="0"/>
            </w:tcBorders>
            <w:vAlign w:val="center"/>
          </w:tcPr>
          <w:p w14:paraId="32623641">
            <w:pPr>
              <w:adjustRightInd/>
              <w:spacing w:line="240" w:lineRule="auto"/>
              <w:jc w:val="center"/>
              <w:rPr>
                <w:rFonts w:ascii="宋体" w:hAnsi="宋体" w:eastAsia="Times New Roman" w:cs="宋体"/>
                <w:sz w:val="18"/>
                <w:szCs w:val="18"/>
              </w:rPr>
            </w:pPr>
            <w:r>
              <w:rPr>
                <w:rFonts w:hint="eastAsia" w:cs="宋体" w:asciiTheme="minorEastAsia" w:hAnsiTheme="minorEastAsia" w:eastAsiaTheme="minorEastAsia"/>
                <w:sz w:val="18"/>
                <w:szCs w:val="18"/>
              </w:rPr>
              <w:t>复查时间</w:t>
            </w:r>
          </w:p>
        </w:tc>
        <w:tc>
          <w:tcPr>
            <w:tcW w:w="7625" w:type="dxa"/>
            <w:gridSpan w:val="7"/>
            <w:tcBorders>
              <w:top w:val="single" w:color="auto" w:sz="4" w:space="0"/>
              <w:left w:val="single" w:color="auto" w:sz="4" w:space="0"/>
              <w:bottom w:val="single" w:color="auto" w:sz="4" w:space="0"/>
              <w:right w:val="single" w:color="auto" w:sz="4" w:space="0"/>
            </w:tcBorders>
          </w:tcPr>
          <w:p w14:paraId="0A90CF6E">
            <w:pPr>
              <w:adjustRightInd/>
              <w:spacing w:line="240" w:lineRule="auto"/>
              <w:rPr>
                <w:rFonts w:ascii="Times New Roman" w:hAnsi="Times New Roman" w:eastAsia="Times New Roman"/>
                <w:sz w:val="18"/>
                <w:szCs w:val="18"/>
              </w:rPr>
            </w:pPr>
          </w:p>
        </w:tc>
      </w:tr>
    </w:tbl>
    <w:p w14:paraId="1CAF1C20">
      <w:pPr>
        <w:pStyle w:val="56"/>
        <w:ind w:firstLine="420"/>
      </w:pPr>
    </w:p>
    <w:p w14:paraId="0ADBD772">
      <w:pPr>
        <w:pStyle w:val="56"/>
        <w:ind w:firstLine="420"/>
      </w:pPr>
    </w:p>
    <w:p w14:paraId="3F430CD5">
      <w:pPr>
        <w:pStyle w:val="56"/>
        <w:ind w:firstLine="420"/>
      </w:pPr>
    </w:p>
    <w:p w14:paraId="6209EA18">
      <w:pPr>
        <w:pStyle w:val="56"/>
        <w:ind w:firstLine="420"/>
      </w:pPr>
    </w:p>
    <w:p w14:paraId="7F0D185F">
      <w:pPr>
        <w:pStyle w:val="56"/>
        <w:ind w:firstLine="420"/>
      </w:pPr>
    </w:p>
    <w:p w14:paraId="5C30FFD2">
      <w:pPr>
        <w:pStyle w:val="56"/>
        <w:ind w:firstLine="420"/>
      </w:pPr>
    </w:p>
    <w:p w14:paraId="20C83D22">
      <w:pPr>
        <w:pStyle w:val="56"/>
        <w:ind w:firstLine="420"/>
      </w:pPr>
      <w:r>
        <w:br w:type="textWrapping"/>
      </w:r>
      <w:r>
        <w:rPr>
          <w:rFonts w:hint="eastAsia"/>
        </w:rPr>
        <w:t xml:space="preserve"> </w:t>
      </w:r>
    </w:p>
    <w:bookmarkEnd w:id="94"/>
    <w:p w14:paraId="6DD11E43">
      <w:pPr>
        <w:pStyle w:val="56"/>
        <w:ind w:firstLine="0" w:firstLineChars="0"/>
        <w:jc w:val="center"/>
      </w:pPr>
      <w:bookmarkStart w:id="98" w:name="BookMark8"/>
      <w:r>
        <w:rPr>
          <w:rFonts w:hint="eastAsia"/>
        </w:rPr>
        <w:drawing>
          <wp:inline distT="0" distB="0" distL="0" distR="0">
            <wp:extent cx="1485900" cy="317500"/>
            <wp:effectExtent l="0" t="0" r="0" b="635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6"/>
                    <a:stretch>
                      <a:fillRect/>
                    </a:stretch>
                  </pic:blipFill>
                  <pic:spPr>
                    <a:xfrm>
                      <a:off x="0" y="0"/>
                      <a:ext cx="1485900" cy="317500"/>
                    </a:xfrm>
                    <a:prstGeom prst="rect">
                      <a:avLst/>
                    </a:prstGeom>
                  </pic:spPr>
                </pic:pic>
              </a:graphicData>
            </a:graphic>
          </wp:inline>
        </w:drawing>
      </w:r>
      <w:bookmarkEnd w:id="98"/>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0000000000000000000"/>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6B625">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1066CE">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24CD1">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37BDD">
    <w:pPr>
      <w:pStyle w:val="52"/>
    </w:pPr>
    <w:r>
      <w:fldChar w:fldCharType="begin"/>
    </w:r>
    <w:r>
      <w:instrText xml:space="preserve">PAGE   \* MERGEFORMAT</w:instrText>
    </w:r>
    <w:r>
      <w:fldChar w:fldCharType="separate"/>
    </w:r>
    <w:r>
      <w:rPr>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F9687">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8BDE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083A4">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704AE">
    <w:pPr>
      <w:pStyle w:val="61"/>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2541B">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993" w:firstLine="0"/>
      </w:pPr>
      <w:rPr>
        <w:rFonts w:hint="eastAsia" w:ascii="黑体" w:eastAsia="黑体"/>
        <w:b w:val="0"/>
        <w:i w:val="0"/>
        <w:sz w:val="21"/>
      </w:rPr>
    </w:lvl>
    <w:lvl w:ilvl="2" w:tentative="0">
      <w:start w:val="1"/>
      <w:numFmt w:val="decimal"/>
      <w:pStyle w:val="105"/>
      <w:suff w:val="nothing"/>
      <w:lvlText w:val="%1%2.%3　"/>
      <w:lvlJc w:val="left"/>
      <w:pPr>
        <w:ind w:left="1559"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851" w:firstLine="0"/>
      </w:pPr>
      <w:rPr>
        <w:rFonts w:hint="eastAsia" w:ascii="黑体" w:eastAsia="黑体"/>
        <w:b w:val="0"/>
        <w:i w:val="0"/>
        <w:color w:val="auto"/>
        <w:sz w:val="21"/>
      </w:rPr>
    </w:lvl>
    <w:lvl w:ilvl="4" w:tentative="0">
      <w:start w:val="1"/>
      <w:numFmt w:val="decimal"/>
      <w:pStyle w:val="94"/>
      <w:suff w:val="nothing"/>
      <w:lvlText w:val="%1%2.%3.%4.%5　"/>
      <w:lvlJc w:val="left"/>
      <w:pPr>
        <w:ind w:left="142"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1"/>
  <w:bordersDoNotSurroundFooter w:val="1"/>
  <w:attachedTemplate r:id="rId1"/>
  <w:documentProtection w:edit="forms" w:enforcement="1" w:cryptProviderType="rsaFull" w:cryptAlgorithmClass="hash" w:cryptAlgorithmType="typeAny" w:cryptAlgorithmSid="4" w:cryptSpinCount="100000" w:hash="gCgcKmBJHly+y5+rcUFO24FlKZw=" w:salt="xjDIAYfL8RgXsNx0D5K9w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zOWQ2MTA4YzlhYWY2NmUxYmFkZjJhYTM2MGU5YzAifQ=="/>
  </w:docVars>
  <w:rsids>
    <w:rsidRoot w:val="00C51C43"/>
    <w:rsid w:val="0000040A"/>
    <w:rsid w:val="00000A94"/>
    <w:rsid w:val="00001972"/>
    <w:rsid w:val="00001D9A"/>
    <w:rsid w:val="00006B1E"/>
    <w:rsid w:val="00007B3A"/>
    <w:rsid w:val="000107E0"/>
    <w:rsid w:val="0001104A"/>
    <w:rsid w:val="00011FDE"/>
    <w:rsid w:val="00012FFD"/>
    <w:rsid w:val="00014162"/>
    <w:rsid w:val="00014340"/>
    <w:rsid w:val="00014675"/>
    <w:rsid w:val="00016A9C"/>
    <w:rsid w:val="00022184"/>
    <w:rsid w:val="00022762"/>
    <w:rsid w:val="000238E0"/>
    <w:rsid w:val="000249DB"/>
    <w:rsid w:val="0002595E"/>
    <w:rsid w:val="000303C3"/>
    <w:rsid w:val="000331D3"/>
    <w:rsid w:val="00033EFD"/>
    <w:rsid w:val="000346A5"/>
    <w:rsid w:val="000359C3"/>
    <w:rsid w:val="00035A7D"/>
    <w:rsid w:val="000365ED"/>
    <w:rsid w:val="00037563"/>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0AC"/>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6AEC"/>
    <w:rsid w:val="000C0F6C"/>
    <w:rsid w:val="000C11DB"/>
    <w:rsid w:val="000C1492"/>
    <w:rsid w:val="000C2FBD"/>
    <w:rsid w:val="000C4B41"/>
    <w:rsid w:val="000C57D6"/>
    <w:rsid w:val="000C6362"/>
    <w:rsid w:val="000C7666"/>
    <w:rsid w:val="000D0A9C"/>
    <w:rsid w:val="000D1795"/>
    <w:rsid w:val="000D329A"/>
    <w:rsid w:val="000D3917"/>
    <w:rsid w:val="000D41DF"/>
    <w:rsid w:val="000D47EC"/>
    <w:rsid w:val="000D4B9C"/>
    <w:rsid w:val="000D4EB6"/>
    <w:rsid w:val="000D6FF8"/>
    <w:rsid w:val="000D753B"/>
    <w:rsid w:val="000E4641"/>
    <w:rsid w:val="000E4C9E"/>
    <w:rsid w:val="000E6FD7"/>
    <w:rsid w:val="000F06E1"/>
    <w:rsid w:val="000F0E3C"/>
    <w:rsid w:val="000F108D"/>
    <w:rsid w:val="000F19D5"/>
    <w:rsid w:val="000F4AEA"/>
    <w:rsid w:val="000F633F"/>
    <w:rsid w:val="000F67E9"/>
    <w:rsid w:val="000F720D"/>
    <w:rsid w:val="00101622"/>
    <w:rsid w:val="001024F5"/>
    <w:rsid w:val="00102566"/>
    <w:rsid w:val="00104926"/>
    <w:rsid w:val="00113B1E"/>
    <w:rsid w:val="0011711C"/>
    <w:rsid w:val="0012059C"/>
    <w:rsid w:val="0012088A"/>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1D99"/>
    <w:rsid w:val="0019348F"/>
    <w:rsid w:val="00193A07"/>
    <w:rsid w:val="00194C95"/>
    <w:rsid w:val="00195C34"/>
    <w:rsid w:val="001961A7"/>
    <w:rsid w:val="00196EF5"/>
    <w:rsid w:val="001A1A53"/>
    <w:rsid w:val="001A234A"/>
    <w:rsid w:val="001A4CF3"/>
    <w:rsid w:val="001B06E8"/>
    <w:rsid w:val="001B3167"/>
    <w:rsid w:val="001B71D0"/>
    <w:rsid w:val="001B71EE"/>
    <w:rsid w:val="001C04A8"/>
    <w:rsid w:val="001C1769"/>
    <w:rsid w:val="001C2C03"/>
    <w:rsid w:val="001C42F7"/>
    <w:rsid w:val="001C49E5"/>
    <w:rsid w:val="001C680C"/>
    <w:rsid w:val="001C7FEA"/>
    <w:rsid w:val="001D0499"/>
    <w:rsid w:val="001D0BBE"/>
    <w:rsid w:val="001D0ED4"/>
    <w:rsid w:val="001D212F"/>
    <w:rsid w:val="001D29D7"/>
    <w:rsid w:val="001D2DE7"/>
    <w:rsid w:val="001D3EB2"/>
    <w:rsid w:val="001D411C"/>
    <w:rsid w:val="001D42EE"/>
    <w:rsid w:val="001D43DC"/>
    <w:rsid w:val="001E1B6A"/>
    <w:rsid w:val="001E2484"/>
    <w:rsid w:val="001E3CC4"/>
    <w:rsid w:val="001E4882"/>
    <w:rsid w:val="001E73AB"/>
    <w:rsid w:val="001F02BB"/>
    <w:rsid w:val="001F092D"/>
    <w:rsid w:val="001F143A"/>
    <w:rsid w:val="001F1605"/>
    <w:rsid w:val="001F2508"/>
    <w:rsid w:val="001F3181"/>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6A45"/>
    <w:rsid w:val="0022794E"/>
    <w:rsid w:val="00233D64"/>
    <w:rsid w:val="0023482A"/>
    <w:rsid w:val="002359CB"/>
    <w:rsid w:val="002413CE"/>
    <w:rsid w:val="00243540"/>
    <w:rsid w:val="00243D53"/>
    <w:rsid w:val="0024497B"/>
    <w:rsid w:val="0024515B"/>
    <w:rsid w:val="00246021"/>
    <w:rsid w:val="0024666E"/>
    <w:rsid w:val="00247F52"/>
    <w:rsid w:val="00250B25"/>
    <w:rsid w:val="00250BBE"/>
    <w:rsid w:val="0025158B"/>
    <w:rsid w:val="002515C2"/>
    <w:rsid w:val="0025194F"/>
    <w:rsid w:val="0026148A"/>
    <w:rsid w:val="00262696"/>
    <w:rsid w:val="00263D25"/>
    <w:rsid w:val="002643C3"/>
    <w:rsid w:val="00264A0C"/>
    <w:rsid w:val="00265EF6"/>
    <w:rsid w:val="00266EEB"/>
    <w:rsid w:val="00267EF4"/>
    <w:rsid w:val="00270CB8"/>
    <w:rsid w:val="00272B08"/>
    <w:rsid w:val="0027615E"/>
    <w:rsid w:val="002771AC"/>
    <w:rsid w:val="00281BB8"/>
    <w:rsid w:val="00281E9E"/>
    <w:rsid w:val="00282085"/>
    <w:rsid w:val="00282405"/>
    <w:rsid w:val="00285170"/>
    <w:rsid w:val="00285361"/>
    <w:rsid w:val="00292D60"/>
    <w:rsid w:val="00293B30"/>
    <w:rsid w:val="00294D34"/>
    <w:rsid w:val="00294E3B"/>
    <w:rsid w:val="00296091"/>
    <w:rsid w:val="00296193"/>
    <w:rsid w:val="00296B5B"/>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7C2"/>
    <w:rsid w:val="002B4508"/>
    <w:rsid w:val="002B5779"/>
    <w:rsid w:val="002B7332"/>
    <w:rsid w:val="002B7F51"/>
    <w:rsid w:val="002C09E7"/>
    <w:rsid w:val="002C1E06"/>
    <w:rsid w:val="002C1E1C"/>
    <w:rsid w:val="002C3F07"/>
    <w:rsid w:val="002C5278"/>
    <w:rsid w:val="002C7EBB"/>
    <w:rsid w:val="002D06C1"/>
    <w:rsid w:val="002D2338"/>
    <w:rsid w:val="002D42B5"/>
    <w:rsid w:val="002D4F1A"/>
    <w:rsid w:val="002D6EC6"/>
    <w:rsid w:val="002D79AC"/>
    <w:rsid w:val="002D7D1D"/>
    <w:rsid w:val="002E039D"/>
    <w:rsid w:val="002E4D5A"/>
    <w:rsid w:val="002E6326"/>
    <w:rsid w:val="002F30E0"/>
    <w:rsid w:val="002F35E4"/>
    <w:rsid w:val="002F3730"/>
    <w:rsid w:val="002F38E1"/>
    <w:rsid w:val="002F7AF6"/>
    <w:rsid w:val="00300E63"/>
    <w:rsid w:val="00302F5F"/>
    <w:rsid w:val="00303B44"/>
    <w:rsid w:val="0030441D"/>
    <w:rsid w:val="00306063"/>
    <w:rsid w:val="003076CD"/>
    <w:rsid w:val="00313B85"/>
    <w:rsid w:val="00317988"/>
    <w:rsid w:val="00321923"/>
    <w:rsid w:val="003221B4"/>
    <w:rsid w:val="0032258D"/>
    <w:rsid w:val="00322E62"/>
    <w:rsid w:val="003247F6"/>
    <w:rsid w:val="00324D13"/>
    <w:rsid w:val="00324D2A"/>
    <w:rsid w:val="00324EDD"/>
    <w:rsid w:val="003331E4"/>
    <w:rsid w:val="00336C64"/>
    <w:rsid w:val="00337162"/>
    <w:rsid w:val="0034194F"/>
    <w:rsid w:val="00344605"/>
    <w:rsid w:val="00344801"/>
    <w:rsid w:val="003474AA"/>
    <w:rsid w:val="00350D1D"/>
    <w:rsid w:val="00352C83"/>
    <w:rsid w:val="003615D2"/>
    <w:rsid w:val="0036429C"/>
    <w:rsid w:val="00364A53"/>
    <w:rsid w:val="003654CB"/>
    <w:rsid w:val="00365AA9"/>
    <w:rsid w:val="00365F86"/>
    <w:rsid w:val="00365F87"/>
    <w:rsid w:val="0036660F"/>
    <w:rsid w:val="00366E89"/>
    <w:rsid w:val="003705F4"/>
    <w:rsid w:val="00370D58"/>
    <w:rsid w:val="00371316"/>
    <w:rsid w:val="003744C7"/>
    <w:rsid w:val="00376713"/>
    <w:rsid w:val="00377CF4"/>
    <w:rsid w:val="00381815"/>
    <w:rsid w:val="003819AF"/>
    <w:rsid w:val="003820E9"/>
    <w:rsid w:val="00382DE7"/>
    <w:rsid w:val="00383C61"/>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A3F"/>
    <w:rsid w:val="003B1F18"/>
    <w:rsid w:val="003B5BF0"/>
    <w:rsid w:val="003B60BF"/>
    <w:rsid w:val="003B6BE3"/>
    <w:rsid w:val="003C010C"/>
    <w:rsid w:val="003C0A6C"/>
    <w:rsid w:val="003C14F8"/>
    <w:rsid w:val="003C5A43"/>
    <w:rsid w:val="003C62B4"/>
    <w:rsid w:val="003D0519"/>
    <w:rsid w:val="003D0FF6"/>
    <w:rsid w:val="003D262C"/>
    <w:rsid w:val="003D6D61"/>
    <w:rsid w:val="003D79C6"/>
    <w:rsid w:val="003E091D"/>
    <w:rsid w:val="003E1C53"/>
    <w:rsid w:val="003E2A69"/>
    <w:rsid w:val="003E2D49"/>
    <w:rsid w:val="003E2FD4"/>
    <w:rsid w:val="003E3C99"/>
    <w:rsid w:val="003E49F6"/>
    <w:rsid w:val="003E660F"/>
    <w:rsid w:val="003F0841"/>
    <w:rsid w:val="003F23D3"/>
    <w:rsid w:val="003F3F08"/>
    <w:rsid w:val="003F49F1"/>
    <w:rsid w:val="003F57E3"/>
    <w:rsid w:val="003F6272"/>
    <w:rsid w:val="00400E72"/>
    <w:rsid w:val="00401400"/>
    <w:rsid w:val="00402054"/>
    <w:rsid w:val="00404869"/>
    <w:rsid w:val="00405884"/>
    <w:rsid w:val="00405F53"/>
    <w:rsid w:val="00407D39"/>
    <w:rsid w:val="0041477A"/>
    <w:rsid w:val="004167A3"/>
    <w:rsid w:val="00432DAA"/>
    <w:rsid w:val="00434305"/>
    <w:rsid w:val="00435DF7"/>
    <w:rsid w:val="0044083F"/>
    <w:rsid w:val="00441AE7"/>
    <w:rsid w:val="00445574"/>
    <w:rsid w:val="004467FB"/>
    <w:rsid w:val="00452B9D"/>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B72"/>
    <w:rsid w:val="00492F02"/>
    <w:rsid w:val="004939AE"/>
    <w:rsid w:val="0049443F"/>
    <w:rsid w:val="00496126"/>
    <w:rsid w:val="004A12DF"/>
    <w:rsid w:val="004A17E6"/>
    <w:rsid w:val="004A1BA8"/>
    <w:rsid w:val="004A4B57"/>
    <w:rsid w:val="004A63FA"/>
    <w:rsid w:val="004B0272"/>
    <w:rsid w:val="004B2701"/>
    <w:rsid w:val="004B2E1B"/>
    <w:rsid w:val="004B3AA8"/>
    <w:rsid w:val="004B3E93"/>
    <w:rsid w:val="004C1ACD"/>
    <w:rsid w:val="004C1FBC"/>
    <w:rsid w:val="004C3F1D"/>
    <w:rsid w:val="004C458D"/>
    <w:rsid w:val="004C7556"/>
    <w:rsid w:val="004C7BE0"/>
    <w:rsid w:val="004C7E8B"/>
    <w:rsid w:val="004C7E9D"/>
    <w:rsid w:val="004C7F67"/>
    <w:rsid w:val="004D076D"/>
    <w:rsid w:val="004D0EF1"/>
    <w:rsid w:val="004D2253"/>
    <w:rsid w:val="004D4406"/>
    <w:rsid w:val="004D7C42"/>
    <w:rsid w:val="004E0465"/>
    <w:rsid w:val="004E127B"/>
    <w:rsid w:val="004E1C0A"/>
    <w:rsid w:val="004E2B06"/>
    <w:rsid w:val="004E30C5"/>
    <w:rsid w:val="004E4272"/>
    <w:rsid w:val="004E4AA5"/>
    <w:rsid w:val="004E4AEE"/>
    <w:rsid w:val="004E59E3"/>
    <w:rsid w:val="004E67C0"/>
    <w:rsid w:val="004E68A1"/>
    <w:rsid w:val="004F01DE"/>
    <w:rsid w:val="004F391A"/>
    <w:rsid w:val="004F3AEE"/>
    <w:rsid w:val="004F3CFB"/>
    <w:rsid w:val="004F6456"/>
    <w:rsid w:val="004F696E"/>
    <w:rsid w:val="004F6C71"/>
    <w:rsid w:val="00501139"/>
    <w:rsid w:val="00502652"/>
    <w:rsid w:val="0050363E"/>
    <w:rsid w:val="005039BC"/>
    <w:rsid w:val="005043BB"/>
    <w:rsid w:val="00504A3D"/>
    <w:rsid w:val="00505767"/>
    <w:rsid w:val="00506EE6"/>
    <w:rsid w:val="005073F0"/>
    <w:rsid w:val="00510A7B"/>
    <w:rsid w:val="005114A5"/>
    <w:rsid w:val="00512008"/>
    <w:rsid w:val="00512F6E"/>
    <w:rsid w:val="00513038"/>
    <w:rsid w:val="00514174"/>
    <w:rsid w:val="00516088"/>
    <w:rsid w:val="00516B0B"/>
    <w:rsid w:val="005217CA"/>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6877"/>
    <w:rsid w:val="00561475"/>
    <w:rsid w:val="00561A07"/>
    <w:rsid w:val="0056487B"/>
    <w:rsid w:val="00564FB9"/>
    <w:rsid w:val="00570D9A"/>
    <w:rsid w:val="00571534"/>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6CC7"/>
    <w:rsid w:val="005A7830"/>
    <w:rsid w:val="005A7FCE"/>
    <w:rsid w:val="005B0F3F"/>
    <w:rsid w:val="005B4903"/>
    <w:rsid w:val="005B51CE"/>
    <w:rsid w:val="005B5885"/>
    <w:rsid w:val="005B5CD7"/>
    <w:rsid w:val="005B6CF6"/>
    <w:rsid w:val="005B7422"/>
    <w:rsid w:val="005C29B8"/>
    <w:rsid w:val="005C5F21"/>
    <w:rsid w:val="005C7156"/>
    <w:rsid w:val="005D0C75"/>
    <w:rsid w:val="005D2C6D"/>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3CFD"/>
    <w:rsid w:val="00604784"/>
    <w:rsid w:val="00606157"/>
    <w:rsid w:val="00606419"/>
    <w:rsid w:val="00607D29"/>
    <w:rsid w:val="00612952"/>
    <w:rsid w:val="00614681"/>
    <w:rsid w:val="00614CC1"/>
    <w:rsid w:val="00615A9D"/>
    <w:rsid w:val="0061696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1ED5"/>
    <w:rsid w:val="00645904"/>
    <w:rsid w:val="00651ACB"/>
    <w:rsid w:val="00651C47"/>
    <w:rsid w:val="00652AB2"/>
    <w:rsid w:val="00653FED"/>
    <w:rsid w:val="00654EC0"/>
    <w:rsid w:val="0065525B"/>
    <w:rsid w:val="00655D4F"/>
    <w:rsid w:val="00656997"/>
    <w:rsid w:val="00656D29"/>
    <w:rsid w:val="00661256"/>
    <w:rsid w:val="0066380F"/>
    <w:rsid w:val="006640E5"/>
    <w:rsid w:val="006646F1"/>
    <w:rsid w:val="00664929"/>
    <w:rsid w:val="00664F62"/>
    <w:rsid w:val="006655E1"/>
    <w:rsid w:val="00666E48"/>
    <w:rsid w:val="00672060"/>
    <w:rsid w:val="00672BFD"/>
    <w:rsid w:val="006770F4"/>
    <w:rsid w:val="00677A84"/>
    <w:rsid w:val="0068026D"/>
    <w:rsid w:val="00680A27"/>
    <w:rsid w:val="006816A4"/>
    <w:rsid w:val="006819B8"/>
    <w:rsid w:val="006840A6"/>
    <w:rsid w:val="006850CD"/>
    <w:rsid w:val="00685AAB"/>
    <w:rsid w:val="0068704E"/>
    <w:rsid w:val="00692944"/>
    <w:rsid w:val="00695D22"/>
    <w:rsid w:val="006A07AA"/>
    <w:rsid w:val="006A25E5"/>
    <w:rsid w:val="006A2B46"/>
    <w:rsid w:val="006A336D"/>
    <w:rsid w:val="006A37B9"/>
    <w:rsid w:val="006B2672"/>
    <w:rsid w:val="006B3649"/>
    <w:rsid w:val="006B54BF"/>
    <w:rsid w:val="006B5F44"/>
    <w:rsid w:val="006B5F90"/>
    <w:rsid w:val="006B62E4"/>
    <w:rsid w:val="006C1BBA"/>
    <w:rsid w:val="006C2079"/>
    <w:rsid w:val="006C5759"/>
    <w:rsid w:val="006C5A62"/>
    <w:rsid w:val="006C5D68"/>
    <w:rsid w:val="006C6976"/>
    <w:rsid w:val="006C6DD0"/>
    <w:rsid w:val="006D04EA"/>
    <w:rsid w:val="006D0AB7"/>
    <w:rsid w:val="006D16C4"/>
    <w:rsid w:val="006D3E96"/>
    <w:rsid w:val="006D4515"/>
    <w:rsid w:val="006D4BB1"/>
    <w:rsid w:val="006D6593"/>
    <w:rsid w:val="006E23EA"/>
    <w:rsid w:val="006E66E6"/>
    <w:rsid w:val="006F03A8"/>
    <w:rsid w:val="006F0F0F"/>
    <w:rsid w:val="006F2ACA"/>
    <w:rsid w:val="006F2ADC"/>
    <w:rsid w:val="006F2BFE"/>
    <w:rsid w:val="006F31E9"/>
    <w:rsid w:val="006F6053"/>
    <w:rsid w:val="006F6284"/>
    <w:rsid w:val="007002C5"/>
    <w:rsid w:val="00701BAF"/>
    <w:rsid w:val="00704387"/>
    <w:rsid w:val="00707669"/>
    <w:rsid w:val="007106E3"/>
    <w:rsid w:val="00711CBA"/>
    <w:rsid w:val="00711FB5"/>
    <w:rsid w:val="00712A01"/>
    <w:rsid w:val="00714F58"/>
    <w:rsid w:val="00722FBF"/>
    <w:rsid w:val="00722FC2"/>
    <w:rsid w:val="00724879"/>
    <w:rsid w:val="00724E1B"/>
    <w:rsid w:val="00725949"/>
    <w:rsid w:val="00725A90"/>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0122"/>
    <w:rsid w:val="00765C43"/>
    <w:rsid w:val="00765EFB"/>
    <w:rsid w:val="007671CA"/>
    <w:rsid w:val="00767C61"/>
    <w:rsid w:val="0077008A"/>
    <w:rsid w:val="0077075A"/>
    <w:rsid w:val="00771605"/>
    <w:rsid w:val="00773C1F"/>
    <w:rsid w:val="00774DA4"/>
    <w:rsid w:val="00776599"/>
    <w:rsid w:val="0078114B"/>
    <w:rsid w:val="00781DD2"/>
    <w:rsid w:val="00783ECF"/>
    <w:rsid w:val="0078413A"/>
    <w:rsid w:val="007959E8"/>
    <w:rsid w:val="00795E9C"/>
    <w:rsid w:val="00796798"/>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21AC"/>
    <w:rsid w:val="007E690E"/>
    <w:rsid w:val="007F0ED8"/>
    <w:rsid w:val="007F0F63"/>
    <w:rsid w:val="007F75CE"/>
    <w:rsid w:val="008013A4"/>
    <w:rsid w:val="008027CE"/>
    <w:rsid w:val="00802F42"/>
    <w:rsid w:val="00804383"/>
    <w:rsid w:val="00804BB7"/>
    <w:rsid w:val="00804D41"/>
    <w:rsid w:val="00805C23"/>
    <w:rsid w:val="00807DBF"/>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7FBE"/>
    <w:rsid w:val="00830621"/>
    <w:rsid w:val="0083348C"/>
    <w:rsid w:val="008373D3"/>
    <w:rsid w:val="00840617"/>
    <w:rsid w:val="00840F84"/>
    <w:rsid w:val="00842A47"/>
    <w:rsid w:val="00843C13"/>
    <w:rsid w:val="00845192"/>
    <w:rsid w:val="008454F8"/>
    <w:rsid w:val="0084697B"/>
    <w:rsid w:val="0085173A"/>
    <w:rsid w:val="0085219E"/>
    <w:rsid w:val="00856316"/>
    <w:rsid w:val="008603CE"/>
    <w:rsid w:val="008620FC"/>
    <w:rsid w:val="008627A5"/>
    <w:rsid w:val="00863E05"/>
    <w:rsid w:val="00865ACA"/>
    <w:rsid w:val="00865D28"/>
    <w:rsid w:val="00865F85"/>
    <w:rsid w:val="00867C10"/>
    <w:rsid w:val="00870439"/>
    <w:rsid w:val="00870DA1"/>
    <w:rsid w:val="008766D8"/>
    <w:rsid w:val="00883F93"/>
    <w:rsid w:val="00884DB3"/>
    <w:rsid w:val="00885A9D"/>
    <w:rsid w:val="008864F6"/>
    <w:rsid w:val="00887EBE"/>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28E"/>
    <w:rsid w:val="008B3615"/>
    <w:rsid w:val="008B3EC1"/>
    <w:rsid w:val="008B4AC4"/>
    <w:rsid w:val="008B50C8"/>
    <w:rsid w:val="008B5281"/>
    <w:rsid w:val="008B5705"/>
    <w:rsid w:val="008B7E05"/>
    <w:rsid w:val="008C1797"/>
    <w:rsid w:val="008C1EEB"/>
    <w:rsid w:val="008C219C"/>
    <w:rsid w:val="008C475E"/>
    <w:rsid w:val="008C619A"/>
    <w:rsid w:val="008D0CE8"/>
    <w:rsid w:val="008D2D1D"/>
    <w:rsid w:val="008D453D"/>
    <w:rsid w:val="008D53AD"/>
    <w:rsid w:val="008D562B"/>
    <w:rsid w:val="008D5733"/>
    <w:rsid w:val="008D622B"/>
    <w:rsid w:val="008D666C"/>
    <w:rsid w:val="008D7B54"/>
    <w:rsid w:val="008E08C6"/>
    <w:rsid w:val="008E0C9D"/>
    <w:rsid w:val="008E15E5"/>
    <w:rsid w:val="008E1648"/>
    <w:rsid w:val="008E1B3E"/>
    <w:rsid w:val="008E2319"/>
    <w:rsid w:val="008E2A81"/>
    <w:rsid w:val="008E4BB6"/>
    <w:rsid w:val="008E5518"/>
    <w:rsid w:val="008E6A84"/>
    <w:rsid w:val="008F0CDC"/>
    <w:rsid w:val="008F17A3"/>
    <w:rsid w:val="008F1ED3"/>
    <w:rsid w:val="008F23A5"/>
    <w:rsid w:val="008F4C29"/>
    <w:rsid w:val="008F70BD"/>
    <w:rsid w:val="008F788F"/>
    <w:rsid w:val="008F7EA2"/>
    <w:rsid w:val="00902722"/>
    <w:rsid w:val="009027BC"/>
    <w:rsid w:val="00902ACB"/>
    <w:rsid w:val="009062E6"/>
    <w:rsid w:val="00911BE5"/>
    <w:rsid w:val="00913CA9"/>
    <w:rsid w:val="009145AE"/>
    <w:rsid w:val="009146CE"/>
    <w:rsid w:val="00914CA7"/>
    <w:rsid w:val="00915A77"/>
    <w:rsid w:val="00915C3E"/>
    <w:rsid w:val="009161A8"/>
    <w:rsid w:val="009241B2"/>
    <w:rsid w:val="00924451"/>
    <w:rsid w:val="009245F5"/>
    <w:rsid w:val="009249EC"/>
    <w:rsid w:val="009273B3"/>
    <w:rsid w:val="00927E88"/>
    <w:rsid w:val="009305B5"/>
    <w:rsid w:val="00935B86"/>
    <w:rsid w:val="0094259E"/>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0FE8"/>
    <w:rsid w:val="009911AF"/>
    <w:rsid w:val="00991875"/>
    <w:rsid w:val="00991F92"/>
    <w:rsid w:val="00992985"/>
    <w:rsid w:val="00993889"/>
    <w:rsid w:val="0099459A"/>
    <w:rsid w:val="0099494C"/>
    <w:rsid w:val="0099551B"/>
    <w:rsid w:val="00997BF1"/>
    <w:rsid w:val="009A089C"/>
    <w:rsid w:val="009A118E"/>
    <w:rsid w:val="009A21CD"/>
    <w:rsid w:val="009A278C"/>
    <w:rsid w:val="009A2BC2"/>
    <w:rsid w:val="009A42C1"/>
    <w:rsid w:val="009A4778"/>
    <w:rsid w:val="009A5429"/>
    <w:rsid w:val="009A72AD"/>
    <w:rsid w:val="009B09E0"/>
    <w:rsid w:val="009B0BC5"/>
    <w:rsid w:val="009B1247"/>
    <w:rsid w:val="009B3390"/>
    <w:rsid w:val="009B46F9"/>
    <w:rsid w:val="009B6029"/>
    <w:rsid w:val="009B6971"/>
    <w:rsid w:val="009C27F1"/>
    <w:rsid w:val="009C3152"/>
    <w:rsid w:val="009C4CFA"/>
    <w:rsid w:val="009C5070"/>
    <w:rsid w:val="009C6405"/>
    <w:rsid w:val="009D112C"/>
    <w:rsid w:val="009D47FA"/>
    <w:rsid w:val="009D4C5B"/>
    <w:rsid w:val="009D50D2"/>
    <w:rsid w:val="009D6BCA"/>
    <w:rsid w:val="009E0F62"/>
    <w:rsid w:val="009E320F"/>
    <w:rsid w:val="009E4A58"/>
    <w:rsid w:val="009E5A2D"/>
    <w:rsid w:val="009E5AB2"/>
    <w:rsid w:val="009E6219"/>
    <w:rsid w:val="009E694E"/>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BC8"/>
    <w:rsid w:val="00A4661E"/>
    <w:rsid w:val="00A55B1F"/>
    <w:rsid w:val="00A55BD6"/>
    <w:rsid w:val="00A55D50"/>
    <w:rsid w:val="00A57142"/>
    <w:rsid w:val="00A648CD"/>
    <w:rsid w:val="00A6537A"/>
    <w:rsid w:val="00A67866"/>
    <w:rsid w:val="00A70B07"/>
    <w:rsid w:val="00A70EA9"/>
    <w:rsid w:val="00A723F8"/>
    <w:rsid w:val="00A77CCB"/>
    <w:rsid w:val="00A83D8D"/>
    <w:rsid w:val="00A8446B"/>
    <w:rsid w:val="00A8473F"/>
    <w:rsid w:val="00A862D6"/>
    <w:rsid w:val="00A8715E"/>
    <w:rsid w:val="00A9295B"/>
    <w:rsid w:val="00A93B09"/>
    <w:rsid w:val="00A9416B"/>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19E"/>
    <w:rsid w:val="00AF5398"/>
    <w:rsid w:val="00AF6B1B"/>
    <w:rsid w:val="00B01541"/>
    <w:rsid w:val="00B049AF"/>
    <w:rsid w:val="00B07242"/>
    <w:rsid w:val="00B10534"/>
    <w:rsid w:val="00B113DB"/>
    <w:rsid w:val="00B11D8A"/>
    <w:rsid w:val="00B12981"/>
    <w:rsid w:val="00B1311F"/>
    <w:rsid w:val="00B147DD"/>
    <w:rsid w:val="00B156FD"/>
    <w:rsid w:val="00B21F61"/>
    <w:rsid w:val="00B261F1"/>
    <w:rsid w:val="00B263C4"/>
    <w:rsid w:val="00B265BC"/>
    <w:rsid w:val="00B30D2B"/>
    <w:rsid w:val="00B31FB1"/>
    <w:rsid w:val="00B33952"/>
    <w:rsid w:val="00B33C5E"/>
    <w:rsid w:val="00B342F4"/>
    <w:rsid w:val="00B34369"/>
    <w:rsid w:val="00B34DC2"/>
    <w:rsid w:val="00B378E5"/>
    <w:rsid w:val="00B37AA9"/>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7E3"/>
    <w:rsid w:val="00B66F52"/>
    <w:rsid w:val="00B66FE5"/>
    <w:rsid w:val="00B72880"/>
    <w:rsid w:val="00B758BF"/>
    <w:rsid w:val="00B77EC8"/>
    <w:rsid w:val="00B827A6"/>
    <w:rsid w:val="00B831CE"/>
    <w:rsid w:val="00B86677"/>
    <w:rsid w:val="00B87131"/>
    <w:rsid w:val="00B87519"/>
    <w:rsid w:val="00B87EA5"/>
    <w:rsid w:val="00B939B1"/>
    <w:rsid w:val="00B96D40"/>
    <w:rsid w:val="00B97386"/>
    <w:rsid w:val="00BA263B"/>
    <w:rsid w:val="00BA42B2"/>
    <w:rsid w:val="00BA5777"/>
    <w:rsid w:val="00BA58D4"/>
    <w:rsid w:val="00BA5B9E"/>
    <w:rsid w:val="00BA7C9A"/>
    <w:rsid w:val="00BB203B"/>
    <w:rsid w:val="00BB5F8F"/>
    <w:rsid w:val="00BB657A"/>
    <w:rsid w:val="00BC0E48"/>
    <w:rsid w:val="00BC1A4E"/>
    <w:rsid w:val="00BC4790"/>
    <w:rsid w:val="00BC5DC7"/>
    <w:rsid w:val="00BC6B8B"/>
    <w:rsid w:val="00BC73D8"/>
    <w:rsid w:val="00BD52D7"/>
    <w:rsid w:val="00BD5509"/>
    <w:rsid w:val="00BD5AD2"/>
    <w:rsid w:val="00BE0EBD"/>
    <w:rsid w:val="00BE22F3"/>
    <w:rsid w:val="00BE5B52"/>
    <w:rsid w:val="00BE7B8D"/>
    <w:rsid w:val="00BF0993"/>
    <w:rsid w:val="00BF10A9"/>
    <w:rsid w:val="00BF11A2"/>
    <w:rsid w:val="00BF1703"/>
    <w:rsid w:val="00BF231C"/>
    <w:rsid w:val="00BF51E5"/>
    <w:rsid w:val="00BF74A6"/>
    <w:rsid w:val="00BF7CC7"/>
    <w:rsid w:val="00C013AD"/>
    <w:rsid w:val="00C04904"/>
    <w:rsid w:val="00C056B3"/>
    <w:rsid w:val="00C103E5"/>
    <w:rsid w:val="00C1325B"/>
    <w:rsid w:val="00C13319"/>
    <w:rsid w:val="00C13EE9"/>
    <w:rsid w:val="00C15C0C"/>
    <w:rsid w:val="00C21540"/>
    <w:rsid w:val="00C21906"/>
    <w:rsid w:val="00C21BFA"/>
    <w:rsid w:val="00C22148"/>
    <w:rsid w:val="00C24C8D"/>
    <w:rsid w:val="00C25FE2"/>
    <w:rsid w:val="00C26B53"/>
    <w:rsid w:val="00C279B2"/>
    <w:rsid w:val="00C33E50"/>
    <w:rsid w:val="00C33F76"/>
    <w:rsid w:val="00C343DA"/>
    <w:rsid w:val="00C34C20"/>
    <w:rsid w:val="00C35A3E"/>
    <w:rsid w:val="00C378F2"/>
    <w:rsid w:val="00C42130"/>
    <w:rsid w:val="00C423A4"/>
    <w:rsid w:val="00C4312A"/>
    <w:rsid w:val="00C44BF5"/>
    <w:rsid w:val="00C516DE"/>
    <w:rsid w:val="00C51C43"/>
    <w:rsid w:val="00C521D6"/>
    <w:rsid w:val="00C55232"/>
    <w:rsid w:val="00C553A4"/>
    <w:rsid w:val="00C553CE"/>
    <w:rsid w:val="00C55A06"/>
    <w:rsid w:val="00C55D03"/>
    <w:rsid w:val="00C601BC"/>
    <w:rsid w:val="00C6329F"/>
    <w:rsid w:val="00C63340"/>
    <w:rsid w:val="00C643F9"/>
    <w:rsid w:val="00C64E95"/>
    <w:rsid w:val="00C71372"/>
    <w:rsid w:val="00C72410"/>
    <w:rsid w:val="00C7287F"/>
    <w:rsid w:val="00C76E5D"/>
    <w:rsid w:val="00C80CB8"/>
    <w:rsid w:val="00C819F8"/>
    <w:rsid w:val="00C8248C"/>
    <w:rsid w:val="00C84E33"/>
    <w:rsid w:val="00C86B38"/>
    <w:rsid w:val="00C86D6F"/>
    <w:rsid w:val="00C877AD"/>
    <w:rsid w:val="00C905FC"/>
    <w:rsid w:val="00C92D03"/>
    <w:rsid w:val="00C9319C"/>
    <w:rsid w:val="00C9435D"/>
    <w:rsid w:val="00C94DF2"/>
    <w:rsid w:val="00C96741"/>
    <w:rsid w:val="00CA2D1B"/>
    <w:rsid w:val="00CA375D"/>
    <w:rsid w:val="00CA623E"/>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2F3B"/>
    <w:rsid w:val="00D0321C"/>
    <w:rsid w:val="00D035EC"/>
    <w:rsid w:val="00D06AB1"/>
    <w:rsid w:val="00D072ED"/>
    <w:rsid w:val="00D07A16"/>
    <w:rsid w:val="00D07C20"/>
    <w:rsid w:val="00D1067E"/>
    <w:rsid w:val="00D10F50"/>
    <w:rsid w:val="00D11272"/>
    <w:rsid w:val="00D12447"/>
    <w:rsid w:val="00D126F5"/>
    <w:rsid w:val="00D1489E"/>
    <w:rsid w:val="00D20737"/>
    <w:rsid w:val="00D21E81"/>
    <w:rsid w:val="00D223DE"/>
    <w:rsid w:val="00D25369"/>
    <w:rsid w:val="00D25E37"/>
    <w:rsid w:val="00D2661A"/>
    <w:rsid w:val="00D26D41"/>
    <w:rsid w:val="00D27582"/>
    <w:rsid w:val="00D27EC4"/>
    <w:rsid w:val="00D32719"/>
    <w:rsid w:val="00D33333"/>
    <w:rsid w:val="00D33457"/>
    <w:rsid w:val="00D352A2"/>
    <w:rsid w:val="00D4162B"/>
    <w:rsid w:val="00D42925"/>
    <w:rsid w:val="00D4514F"/>
    <w:rsid w:val="00D451E2"/>
    <w:rsid w:val="00D45E89"/>
    <w:rsid w:val="00D45E8D"/>
    <w:rsid w:val="00D466AE"/>
    <w:rsid w:val="00D4734F"/>
    <w:rsid w:val="00D51BF3"/>
    <w:rsid w:val="00D60B76"/>
    <w:rsid w:val="00D6630F"/>
    <w:rsid w:val="00D66846"/>
    <w:rsid w:val="00D675FB"/>
    <w:rsid w:val="00D71F25"/>
    <w:rsid w:val="00D71F3F"/>
    <w:rsid w:val="00D727E3"/>
    <w:rsid w:val="00D72A9C"/>
    <w:rsid w:val="00D77031"/>
    <w:rsid w:val="00D83D10"/>
    <w:rsid w:val="00D84941"/>
    <w:rsid w:val="00D84FA1"/>
    <w:rsid w:val="00D851F0"/>
    <w:rsid w:val="00D86DB7"/>
    <w:rsid w:val="00D8739F"/>
    <w:rsid w:val="00D90391"/>
    <w:rsid w:val="00D91199"/>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338"/>
    <w:rsid w:val="00DB498B"/>
    <w:rsid w:val="00DB6603"/>
    <w:rsid w:val="00DB66CA"/>
    <w:rsid w:val="00DB6BCA"/>
    <w:rsid w:val="00DB73F7"/>
    <w:rsid w:val="00DC0321"/>
    <w:rsid w:val="00DC3067"/>
    <w:rsid w:val="00DC370B"/>
    <w:rsid w:val="00DC5B90"/>
    <w:rsid w:val="00DC71B8"/>
    <w:rsid w:val="00DD00FF"/>
    <w:rsid w:val="00DD0619"/>
    <w:rsid w:val="00DD07FB"/>
    <w:rsid w:val="00DD25C6"/>
    <w:rsid w:val="00DD4FE5"/>
    <w:rsid w:val="00DD54B0"/>
    <w:rsid w:val="00DD57EE"/>
    <w:rsid w:val="00DD6BCC"/>
    <w:rsid w:val="00DE0A4B"/>
    <w:rsid w:val="00DE2410"/>
    <w:rsid w:val="00DE2939"/>
    <w:rsid w:val="00DE3FC4"/>
    <w:rsid w:val="00DE6E81"/>
    <w:rsid w:val="00DE703F"/>
    <w:rsid w:val="00DE7595"/>
    <w:rsid w:val="00DE7708"/>
    <w:rsid w:val="00DF1961"/>
    <w:rsid w:val="00DF38CB"/>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2E09"/>
    <w:rsid w:val="00E23D99"/>
    <w:rsid w:val="00E2552F"/>
    <w:rsid w:val="00E3137A"/>
    <w:rsid w:val="00E32CCF"/>
    <w:rsid w:val="00E33DC5"/>
    <w:rsid w:val="00E34A98"/>
    <w:rsid w:val="00E34F74"/>
    <w:rsid w:val="00E35D1E"/>
    <w:rsid w:val="00E364F9"/>
    <w:rsid w:val="00E365FA"/>
    <w:rsid w:val="00E36789"/>
    <w:rsid w:val="00E41608"/>
    <w:rsid w:val="00E44A83"/>
    <w:rsid w:val="00E502C1"/>
    <w:rsid w:val="00E502DD"/>
    <w:rsid w:val="00E50D3A"/>
    <w:rsid w:val="00E51387"/>
    <w:rsid w:val="00E51E68"/>
    <w:rsid w:val="00E52EFD"/>
    <w:rsid w:val="00E5408A"/>
    <w:rsid w:val="00E56800"/>
    <w:rsid w:val="00E60C63"/>
    <w:rsid w:val="00E62581"/>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0959"/>
    <w:rsid w:val="00E90FD7"/>
    <w:rsid w:val="00E9311F"/>
    <w:rsid w:val="00E934D1"/>
    <w:rsid w:val="00E937C5"/>
    <w:rsid w:val="00E94AF0"/>
    <w:rsid w:val="00E95D13"/>
    <w:rsid w:val="00E95DD3"/>
    <w:rsid w:val="00E969D5"/>
    <w:rsid w:val="00EA58D1"/>
    <w:rsid w:val="00EA61BC"/>
    <w:rsid w:val="00EA681A"/>
    <w:rsid w:val="00EA735B"/>
    <w:rsid w:val="00EB156A"/>
    <w:rsid w:val="00EB17DE"/>
    <w:rsid w:val="00EB1E69"/>
    <w:rsid w:val="00EB2086"/>
    <w:rsid w:val="00EB5EDF"/>
    <w:rsid w:val="00EB60FE"/>
    <w:rsid w:val="00EB74DB"/>
    <w:rsid w:val="00EC5359"/>
    <w:rsid w:val="00EC562A"/>
    <w:rsid w:val="00EC5B0A"/>
    <w:rsid w:val="00ED067A"/>
    <w:rsid w:val="00ED2B50"/>
    <w:rsid w:val="00EE0350"/>
    <w:rsid w:val="00EE0719"/>
    <w:rsid w:val="00EE0E80"/>
    <w:rsid w:val="00EE54A6"/>
    <w:rsid w:val="00EE613F"/>
    <w:rsid w:val="00EE7295"/>
    <w:rsid w:val="00EE7869"/>
    <w:rsid w:val="00EF054A"/>
    <w:rsid w:val="00EF2DC7"/>
    <w:rsid w:val="00EF3235"/>
    <w:rsid w:val="00EF7E72"/>
    <w:rsid w:val="00F06D37"/>
    <w:rsid w:val="00F07B9D"/>
    <w:rsid w:val="00F10773"/>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D6"/>
    <w:rsid w:val="00F515EE"/>
    <w:rsid w:val="00F56511"/>
    <w:rsid w:val="00F6194E"/>
    <w:rsid w:val="00F623AC"/>
    <w:rsid w:val="00F6412A"/>
    <w:rsid w:val="00F65893"/>
    <w:rsid w:val="00F66A4A"/>
    <w:rsid w:val="00F71E22"/>
    <w:rsid w:val="00F72142"/>
    <w:rsid w:val="00F72AE7"/>
    <w:rsid w:val="00F81141"/>
    <w:rsid w:val="00F82D2F"/>
    <w:rsid w:val="00F833BA"/>
    <w:rsid w:val="00F84FD0"/>
    <w:rsid w:val="00F859A8"/>
    <w:rsid w:val="00F86D87"/>
    <w:rsid w:val="00F9108B"/>
    <w:rsid w:val="00F91349"/>
    <w:rsid w:val="00F93A8A"/>
    <w:rsid w:val="00F93DEA"/>
    <w:rsid w:val="00F95248"/>
    <w:rsid w:val="00F956A9"/>
    <w:rsid w:val="00F963ED"/>
    <w:rsid w:val="00F966CF"/>
    <w:rsid w:val="00F96CAE"/>
    <w:rsid w:val="00F97C99"/>
    <w:rsid w:val="00FA4DAC"/>
    <w:rsid w:val="00FA662D"/>
    <w:rsid w:val="00FA73B1"/>
    <w:rsid w:val="00FB0CB9"/>
    <w:rsid w:val="00FB231D"/>
    <w:rsid w:val="00FB2756"/>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260"/>
    <w:rsid w:val="00FF730C"/>
    <w:rsid w:val="00FF73F4"/>
    <w:rsid w:val="00FF7CE4"/>
    <w:rsid w:val="00FF7E39"/>
    <w:rsid w:val="0AA76872"/>
    <w:rsid w:val="0DE95727"/>
    <w:rsid w:val="15A3447C"/>
    <w:rsid w:val="2B3B3512"/>
    <w:rsid w:val="36F52BB7"/>
    <w:rsid w:val="52B80821"/>
    <w:rsid w:val="66530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ind w:left="0"/>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ind w:left="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table" w:customStyle="1" w:styleId="230">
    <w:name w:val="网格型1"/>
    <w:basedOn w:val="26"/>
    <w:unhideWhenUsed/>
    <w:qFormat/>
    <w:uiPriority w:val="99"/>
    <w:pPr>
      <w:widowControl w:val="0"/>
      <w:jc w:val="both"/>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网格型2"/>
    <w:basedOn w:val="26"/>
    <w:unhideWhenUsed/>
    <w:qFormat/>
    <w:uiPriority w:val="99"/>
    <w:pPr>
      <w:widowControl w:val="0"/>
      <w:jc w:val="both"/>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909EC9F6A214250B78109A46FB14018"/>
        <w:style w:val=""/>
        <w:category>
          <w:name w:val="常规"/>
          <w:gallery w:val="placeholder"/>
        </w:category>
        <w:types>
          <w:type w:val="bbPlcHdr"/>
        </w:types>
        <w:behaviors>
          <w:behavior w:val="content"/>
        </w:behaviors>
        <w:description w:val=""/>
        <w:guid w:val="{7CA42F6C-B625-41B1-88FE-3F11B28BCD93}"/>
      </w:docPartPr>
      <w:docPartBody>
        <w:p w14:paraId="723F648C">
          <w:pPr>
            <w:pStyle w:val="5"/>
          </w:pPr>
          <w:r>
            <w:rPr>
              <w:rStyle w:val="4"/>
              <w:rFonts w:hint="eastAsia"/>
            </w:rPr>
            <w:t>单击或点击此处输入文字。</w:t>
          </w:r>
        </w:p>
      </w:docPartBody>
    </w:docPart>
    <w:docPart>
      <w:docPartPr>
        <w:name w:val="9EEBD6A86C764D699911E90305196ED9"/>
        <w:style w:val=""/>
        <w:category>
          <w:name w:val="常规"/>
          <w:gallery w:val="placeholder"/>
        </w:category>
        <w:types>
          <w:type w:val="bbPlcHdr"/>
        </w:types>
        <w:behaviors>
          <w:behavior w:val="content"/>
        </w:behaviors>
        <w:description w:val=""/>
        <w:guid w:val="{4B21C669-1BBE-4932-861C-1D1F11493804}"/>
      </w:docPartPr>
      <w:docPartBody>
        <w:p w14:paraId="1CF4798F">
          <w:pPr>
            <w:pStyle w:val="6"/>
          </w:pPr>
          <w:r>
            <w:rPr>
              <w:rStyle w:val="4"/>
              <w:rFonts w:hint="eastAsia"/>
            </w:rPr>
            <w:t>选择一项。</w:t>
          </w:r>
        </w:p>
      </w:docPartBody>
    </w:docPart>
    <w:docPart>
      <w:docPartPr>
        <w:name w:val="11070491A7BD473C816F30037115D0D0"/>
        <w:style w:val=""/>
        <w:category>
          <w:name w:val="常规"/>
          <w:gallery w:val="placeholder"/>
        </w:category>
        <w:types>
          <w:type w:val="bbPlcHdr"/>
        </w:types>
        <w:behaviors>
          <w:behavior w:val="content"/>
        </w:behaviors>
        <w:description w:val=""/>
        <w:guid w:val="{9BDD1075-8FB1-4146-AC9A-D446A51E5FD0}"/>
      </w:docPartPr>
      <w:docPartBody>
        <w:p w14:paraId="69F4F12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A26"/>
    <w:rsid w:val="000B0EFA"/>
    <w:rsid w:val="00263051"/>
    <w:rsid w:val="002F5A64"/>
    <w:rsid w:val="00327FDC"/>
    <w:rsid w:val="00381E46"/>
    <w:rsid w:val="00451D72"/>
    <w:rsid w:val="00455ECC"/>
    <w:rsid w:val="00477222"/>
    <w:rsid w:val="004863C4"/>
    <w:rsid w:val="00700F29"/>
    <w:rsid w:val="0075021F"/>
    <w:rsid w:val="007512AE"/>
    <w:rsid w:val="007A4A26"/>
    <w:rsid w:val="009051A3"/>
    <w:rsid w:val="009732C5"/>
    <w:rsid w:val="00977846"/>
    <w:rsid w:val="00A46312"/>
    <w:rsid w:val="00AC4C47"/>
    <w:rsid w:val="00AC694F"/>
    <w:rsid w:val="00B3264C"/>
    <w:rsid w:val="00B76C91"/>
    <w:rsid w:val="00BC2C90"/>
    <w:rsid w:val="00D508EF"/>
    <w:rsid w:val="00DC2186"/>
    <w:rsid w:val="00E20F4C"/>
    <w:rsid w:val="00F778B6"/>
    <w:rsid w:val="00F81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909EC9F6A214250B78109A46FB1401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EEBD6A86C764D699911E90305196ED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1070491A7BD473C816F30037115D0D0"/>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C92179-5A0B-4814-8BFB-8EE44B69AC8E}">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10</Pages>
  <Words>3689</Words>
  <Characters>4024</Characters>
  <Lines>47</Lines>
  <Paragraphs>13</Paragraphs>
  <TotalTime>30</TotalTime>
  <ScaleCrop>false</ScaleCrop>
  <LinksUpToDate>false</LinksUpToDate>
  <CharactersWithSpaces>4255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2023-11-22T02:51:00Z</dcterms:created>
  <dc:creator>china</dc:creator>
  <dc:description>&lt;config cover="true" show_menu="true" version="1.0.0" doctype="SDKXY"&gt;_x000d_
&lt;/config&gt;</dc:description>
  <cp:lastModifiedBy>李鑫</cp:lastModifiedBy>
  <cp:lastPrinted>2024-05-30T01:56:00Z</cp:lastPrinted>
  <dcterms:modified xsi:type="dcterms:W3CDTF">2025-06-18T02:42:32Z</dcterms:modified>
  <dc:title>地方标准</dc:title>
  <cp:revision>133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4880E56F9CEF4426BACFC8AFCE90D21B_12</vt:lpwstr>
  </property>
  <property fmtid="{D5CDD505-2E9C-101B-9397-08002B2CF9AE}" pid="16" name="KSOTemplateDocerSaveRecord">
    <vt:lpwstr>eyJoZGlkIjoiZTBjNGY3MTg2ZWQyZDAyOGU0MDUxMDE2NjNkNDQzZDQiLCJ1c2VySWQiOiIyNTkwOTMyMTUifQ==</vt:lpwstr>
  </property>
</Properties>
</file>