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42ED7">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jc w:val="center"/>
        <w:textAlignment w:val="auto"/>
        <w:outlineLvl w:val="1"/>
        <w:rPr>
          <w:rFonts w:hint="eastAsia" w:ascii="方正小标宋简体" w:hAnsi="方正小标宋简体" w:eastAsia="方正小标宋简体" w:cs="方正小标宋简体"/>
          <w:b w:val="0"/>
          <w:bCs w:val="0"/>
          <w:color w:val="404040"/>
          <w:kern w:val="0"/>
          <w:sz w:val="44"/>
          <w:szCs w:val="44"/>
        </w:rPr>
      </w:pPr>
      <w:r>
        <w:rPr>
          <w:rFonts w:hint="eastAsia" w:ascii="方正小标宋简体" w:hAnsi="方正小标宋简体" w:eastAsia="方正小标宋简体" w:cs="方正小标宋简体"/>
          <w:b w:val="0"/>
          <w:bCs w:val="0"/>
          <w:color w:val="404040"/>
          <w:kern w:val="0"/>
          <w:sz w:val="44"/>
          <w:szCs w:val="44"/>
          <w:lang w:val="en-US" w:eastAsia="zh-CN"/>
        </w:rPr>
        <w:t>《长丰鲢繁殖养殖技术规范》</w:t>
      </w:r>
      <w:r>
        <w:rPr>
          <w:rFonts w:hint="eastAsia" w:ascii="方正小标宋简体" w:hAnsi="方正小标宋简体" w:eastAsia="方正小标宋简体" w:cs="方正小标宋简体"/>
          <w:b w:val="0"/>
          <w:bCs w:val="0"/>
          <w:color w:val="404040"/>
          <w:kern w:val="0"/>
          <w:sz w:val="44"/>
          <w:szCs w:val="44"/>
        </w:rPr>
        <w:t>南阳市地方</w:t>
      </w:r>
    </w:p>
    <w:p w14:paraId="2C4729B0">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jc w:val="center"/>
        <w:textAlignment w:val="auto"/>
        <w:outlineLvl w:val="1"/>
        <w:rPr>
          <w:rFonts w:ascii="宋体" w:hAnsi="宋体" w:eastAsia="宋体" w:cs="宋体"/>
          <w:kern w:val="0"/>
          <w:sz w:val="24"/>
          <w:szCs w:val="24"/>
        </w:rPr>
      </w:pPr>
      <w:r>
        <w:rPr>
          <w:rFonts w:hint="eastAsia" w:ascii="方正小标宋简体" w:hAnsi="方正小标宋简体" w:eastAsia="方正小标宋简体" w:cs="方正小标宋简体"/>
          <w:b w:val="0"/>
          <w:bCs w:val="0"/>
          <w:color w:val="404040"/>
          <w:kern w:val="0"/>
          <w:sz w:val="44"/>
          <w:szCs w:val="44"/>
        </w:rPr>
        <w:t>标准编制说明</w:t>
      </w:r>
    </w:p>
    <w:p w14:paraId="0C305B76">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outlineLvl w:val="2"/>
        <w:rPr>
          <w:rFonts w:hint="eastAsia" w:ascii="黑体" w:hAnsi="黑体" w:eastAsia="黑体" w:cs="黑体"/>
          <w:b w:val="0"/>
          <w:bCs w:val="0"/>
          <w:color w:val="404040"/>
          <w:kern w:val="0"/>
          <w:sz w:val="32"/>
          <w:szCs w:val="32"/>
          <w:lang w:val="en-US" w:eastAsia="zh-CN"/>
        </w:rPr>
      </w:pPr>
      <w:r>
        <w:rPr>
          <w:rFonts w:hint="eastAsia" w:ascii="黑体" w:hAnsi="黑体" w:eastAsia="黑体" w:cs="黑体"/>
          <w:b w:val="0"/>
          <w:bCs w:val="0"/>
          <w:color w:val="404040"/>
          <w:kern w:val="0"/>
          <w:sz w:val="32"/>
          <w:szCs w:val="32"/>
          <w:lang w:val="en-US" w:eastAsia="zh-CN"/>
        </w:rPr>
        <w:t>一、编制的目的和意义</w:t>
      </w:r>
    </w:p>
    <w:p w14:paraId="2F008725">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楷体" w:hAnsi="楷体" w:eastAsia="楷体" w:cs="楷体"/>
          <w:color w:val="404040"/>
          <w:kern w:val="0"/>
          <w:sz w:val="32"/>
          <w:szCs w:val="32"/>
          <w:lang w:val="en-US" w:eastAsia="zh-CN"/>
        </w:rPr>
      </w:pPr>
      <w:r>
        <w:rPr>
          <w:rFonts w:hint="eastAsia" w:ascii="楷体" w:hAnsi="楷体" w:eastAsia="楷体" w:cs="楷体"/>
          <w:color w:val="404040"/>
          <w:kern w:val="0"/>
          <w:sz w:val="32"/>
          <w:szCs w:val="32"/>
          <w:lang w:val="en-US" w:eastAsia="zh-CN"/>
        </w:rPr>
        <w:t>（一）政策依据</w:t>
      </w:r>
    </w:p>
    <w:p w14:paraId="1293CC91">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lang w:val="en-US" w:eastAsia="zh-CN"/>
        </w:rPr>
        <w:t>为</w:t>
      </w:r>
      <w:r>
        <w:rPr>
          <w:rFonts w:hint="eastAsia" w:ascii="仿宋_GB2312" w:hAnsi="仿宋_GB2312" w:eastAsia="仿宋_GB2312" w:cs="仿宋_GB2312"/>
          <w:color w:val="404040"/>
          <w:kern w:val="0"/>
          <w:sz w:val="32"/>
          <w:szCs w:val="32"/>
        </w:rPr>
        <w:t>贯彻落实国家及河南省关于推进</w:t>
      </w:r>
      <w:r>
        <w:rPr>
          <w:rFonts w:hint="eastAsia" w:ascii="仿宋_GB2312" w:hAnsi="仿宋_GB2312" w:eastAsia="仿宋_GB2312" w:cs="仿宋_GB2312"/>
          <w:color w:val="404040"/>
          <w:kern w:val="0"/>
          <w:sz w:val="32"/>
          <w:szCs w:val="32"/>
          <w:lang w:val="en-US" w:eastAsia="zh-CN"/>
        </w:rPr>
        <w:t>水产绿色健康养殖“五大行动”精神，也是提高</w:t>
      </w:r>
      <w:r>
        <w:rPr>
          <w:rFonts w:hint="eastAsia" w:ascii="仿宋_GB2312" w:hAnsi="仿宋_GB2312" w:eastAsia="仿宋_GB2312" w:cs="仿宋_GB2312"/>
          <w:color w:val="404040"/>
          <w:kern w:val="0"/>
          <w:sz w:val="32"/>
          <w:szCs w:val="32"/>
        </w:rPr>
        <w:t>渔业高质量发展、加强水产种业振兴、实施标准化战略等方针政策的需要。</w:t>
      </w:r>
      <w:r>
        <w:rPr>
          <w:rFonts w:hint="eastAsia" w:ascii="仿宋_GB2312" w:hAnsi="仿宋_GB2312" w:eastAsia="仿宋_GB2312" w:cs="仿宋_GB2312"/>
          <w:b w:val="0"/>
          <w:bCs w:val="0"/>
          <w:color w:val="404040"/>
          <w:kern w:val="0"/>
          <w:sz w:val="32"/>
          <w:szCs w:val="32"/>
          <w:lang w:val="en-US" w:eastAsia="zh-CN" w:bidi="ar"/>
        </w:rPr>
        <w:t>长丰鲢作为国家大宗淡水鱼类产业技术体系重点推广品种，制定地方标准能</w:t>
      </w:r>
      <w:r>
        <w:rPr>
          <w:rFonts w:hint="eastAsia" w:ascii="仿宋_GB2312" w:hAnsi="仿宋_GB2312" w:eastAsia="仿宋_GB2312" w:cs="仿宋_GB2312"/>
          <w:color w:val="404040"/>
          <w:kern w:val="0"/>
          <w:sz w:val="32"/>
          <w:szCs w:val="32"/>
        </w:rPr>
        <w:t>填补南阳市在这一重要养殖品种方面地方标准的空白，</w:t>
      </w:r>
      <w:r>
        <w:rPr>
          <w:rFonts w:hint="eastAsia" w:ascii="仿宋_GB2312" w:hAnsi="仿宋_GB2312" w:eastAsia="仿宋_GB2312" w:cs="仿宋_GB2312"/>
          <w:color w:val="404040"/>
          <w:kern w:val="0"/>
          <w:sz w:val="32"/>
          <w:szCs w:val="32"/>
          <w:lang w:val="en-US" w:eastAsia="zh-CN"/>
        </w:rPr>
        <w:t>有助于</w:t>
      </w:r>
      <w:r>
        <w:rPr>
          <w:rFonts w:hint="eastAsia" w:ascii="仿宋_GB2312" w:hAnsi="仿宋_GB2312" w:eastAsia="仿宋_GB2312" w:cs="仿宋_GB2312"/>
          <w:color w:val="404040"/>
          <w:kern w:val="0"/>
          <w:sz w:val="32"/>
          <w:szCs w:val="32"/>
        </w:rPr>
        <w:t>完善我市水产养殖标准体系。</w:t>
      </w:r>
    </w:p>
    <w:p w14:paraId="668D087D">
      <w:pPr>
        <w:keepNext w:val="0"/>
        <w:keepLines w:val="0"/>
        <w:pageBreakBefore w:val="0"/>
        <w:widowControl/>
        <w:numPr>
          <w:ilvl w:val="0"/>
          <w:numId w:val="1"/>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楷体" w:hAnsi="楷体" w:eastAsia="楷体" w:cs="楷体"/>
          <w:color w:val="404040"/>
          <w:kern w:val="0"/>
          <w:sz w:val="32"/>
          <w:szCs w:val="32"/>
          <w:lang w:val="en-US" w:eastAsia="zh-CN"/>
        </w:rPr>
      </w:pPr>
      <w:r>
        <w:rPr>
          <w:rFonts w:hint="eastAsia" w:ascii="楷体" w:hAnsi="楷体" w:eastAsia="楷体" w:cs="楷体"/>
          <w:color w:val="404040"/>
          <w:kern w:val="0"/>
          <w:sz w:val="32"/>
          <w:szCs w:val="32"/>
          <w:lang w:val="en-US" w:eastAsia="zh-CN"/>
        </w:rPr>
        <w:t>研究背景</w:t>
      </w:r>
    </w:p>
    <w:p w14:paraId="1874C548">
      <w:pPr>
        <w:keepNext w:val="0"/>
        <w:keepLines w:val="0"/>
        <w:pageBreakBefore w:val="0"/>
        <w:widowControl/>
        <w:numPr>
          <w:numId w:val="0"/>
        </w:numPr>
        <w:shd w:val="clear" w:color="auto" w:fill="FFFFFF"/>
        <w:kinsoku/>
        <w:wordWrap/>
        <w:overflowPunct/>
        <w:topLinePunct w:val="0"/>
        <w:bidi w:val="0"/>
        <w:adjustRightInd/>
        <w:snapToGrid/>
        <w:spacing w:beforeAutospacing="0" w:afterAutospacing="0"/>
        <w:ind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长丰鲢是中国科学院</w:t>
      </w:r>
      <w:r>
        <w:rPr>
          <w:rFonts w:hint="eastAsia" w:ascii="仿宋_GB2312" w:hAnsi="仿宋_GB2312" w:eastAsia="仿宋_GB2312" w:cs="仿宋_GB2312"/>
          <w:color w:val="404040"/>
          <w:kern w:val="0"/>
          <w:sz w:val="32"/>
          <w:szCs w:val="32"/>
          <w:lang w:val="en-US" w:eastAsia="zh-CN"/>
        </w:rPr>
        <w:t>长江</w:t>
      </w:r>
      <w:r>
        <w:rPr>
          <w:rFonts w:hint="eastAsia" w:ascii="仿宋_GB2312" w:hAnsi="仿宋_GB2312" w:eastAsia="仿宋_GB2312" w:cs="仿宋_GB2312"/>
          <w:color w:val="404040"/>
          <w:kern w:val="0"/>
          <w:sz w:val="32"/>
          <w:szCs w:val="32"/>
        </w:rPr>
        <w:t>水</w:t>
      </w:r>
      <w:r>
        <w:rPr>
          <w:rFonts w:hint="eastAsia" w:ascii="仿宋_GB2312" w:hAnsi="仿宋_GB2312" w:eastAsia="仿宋_GB2312" w:cs="仿宋_GB2312"/>
          <w:color w:val="404040"/>
          <w:kern w:val="0"/>
          <w:sz w:val="32"/>
          <w:szCs w:val="32"/>
          <w:lang w:val="en-US" w:eastAsia="zh-CN"/>
        </w:rPr>
        <w:t>产</w:t>
      </w:r>
      <w:r>
        <w:rPr>
          <w:rFonts w:hint="eastAsia" w:ascii="仿宋_GB2312" w:hAnsi="仿宋_GB2312" w:eastAsia="仿宋_GB2312" w:cs="仿宋_GB2312"/>
          <w:color w:val="404040"/>
          <w:kern w:val="0"/>
          <w:sz w:val="32"/>
          <w:szCs w:val="32"/>
        </w:rPr>
        <w:t>研究所选育出的鲢</w:t>
      </w:r>
      <w:r>
        <w:rPr>
          <w:rFonts w:hint="eastAsia" w:ascii="仿宋_GB2312" w:hAnsi="仿宋_GB2312" w:eastAsia="仿宋_GB2312" w:cs="仿宋_GB2312"/>
          <w:color w:val="404040"/>
          <w:kern w:val="0"/>
          <w:sz w:val="32"/>
          <w:szCs w:val="32"/>
          <w:lang w:val="en-US" w:eastAsia="zh-CN"/>
        </w:rPr>
        <w:t>鱼</w:t>
      </w:r>
      <w:r>
        <w:rPr>
          <w:rFonts w:hint="eastAsia" w:ascii="仿宋_GB2312" w:hAnsi="仿宋_GB2312" w:eastAsia="仿宋_GB2312" w:cs="仿宋_GB2312"/>
          <w:color w:val="404040"/>
          <w:kern w:val="0"/>
          <w:sz w:val="32"/>
          <w:szCs w:val="32"/>
        </w:rPr>
        <w:t>新品种（品种登记号：GS-01-001-2010），具有生长速度快、体型好、遗传性状稳定等显著优势。近年来，长丰鲢在南阳市池塘水域的养殖规模不断扩大，已成为</w:t>
      </w:r>
      <w:r>
        <w:rPr>
          <w:rFonts w:hint="eastAsia" w:ascii="仿宋_GB2312" w:hAnsi="仿宋_GB2312" w:eastAsia="仿宋_GB2312" w:cs="仿宋_GB2312"/>
          <w:color w:val="404040"/>
          <w:kern w:val="0"/>
          <w:sz w:val="32"/>
          <w:szCs w:val="32"/>
          <w:lang w:val="en-US" w:eastAsia="zh-CN"/>
        </w:rPr>
        <w:t>南阳市</w:t>
      </w:r>
      <w:r>
        <w:rPr>
          <w:rFonts w:hint="eastAsia" w:ascii="仿宋_GB2312" w:hAnsi="仿宋_GB2312" w:eastAsia="仿宋_GB2312" w:cs="仿宋_GB2312"/>
          <w:color w:val="404040"/>
          <w:kern w:val="0"/>
          <w:sz w:val="32"/>
          <w:szCs w:val="32"/>
        </w:rPr>
        <w:t>调整水产养殖品种结构、提升养殖效益的重要品种</w:t>
      </w:r>
      <w:r>
        <w:rPr>
          <w:rFonts w:hint="eastAsia" w:ascii="仿宋_GB2312" w:hAnsi="仿宋_GB2312" w:eastAsia="仿宋_GB2312" w:cs="仿宋_GB2312"/>
          <w:color w:val="404040"/>
          <w:kern w:val="0"/>
          <w:sz w:val="32"/>
          <w:szCs w:val="32"/>
          <w:lang w:val="en-US" w:eastAsia="zh-CN"/>
        </w:rPr>
        <w:t>。</w:t>
      </w:r>
      <w:r>
        <w:rPr>
          <w:rFonts w:hint="eastAsia" w:ascii="仿宋_GB2312" w:hAnsi="仿宋_GB2312" w:eastAsia="仿宋_GB2312" w:cs="仿宋_GB2312"/>
          <w:color w:val="404040"/>
          <w:kern w:val="0"/>
          <w:sz w:val="32"/>
          <w:szCs w:val="32"/>
        </w:rPr>
        <w:t>随着养殖规模的扩大，在生产实践中，长丰鲢的繁殖和养殖等关键技术环节存在操作不规范、标准不统一等问题，影响了苗种质量、养殖成活率和最终经济效益，也制约了该品种优势的充分发挥和产业的健康发展。</w:t>
      </w:r>
    </w:p>
    <w:p w14:paraId="7B39E62E">
      <w:pPr>
        <w:keepNext w:val="0"/>
        <w:keepLines w:val="0"/>
        <w:pageBreakBefore w:val="0"/>
        <w:widowControl/>
        <w:numPr>
          <w:ilvl w:val="0"/>
          <w:numId w:val="2"/>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b w:val="0"/>
          <w:bCs w:val="0"/>
          <w:color w:val="404040"/>
          <w:kern w:val="0"/>
          <w:sz w:val="32"/>
          <w:szCs w:val="32"/>
        </w:rPr>
      </w:pPr>
      <w:r>
        <w:rPr>
          <w:rFonts w:hint="eastAsia" w:ascii="楷体" w:hAnsi="楷体" w:eastAsia="楷体" w:cs="楷体"/>
          <w:b w:val="0"/>
          <w:bCs w:val="0"/>
          <w:color w:val="404040"/>
          <w:kern w:val="0"/>
          <w:sz w:val="32"/>
          <w:szCs w:val="32"/>
          <w:lang w:val="en-US" w:eastAsia="zh-CN"/>
        </w:rPr>
        <w:t>可行性分析</w:t>
      </w:r>
    </w:p>
    <w:p w14:paraId="2D46CE14">
      <w:pPr>
        <w:keepNext w:val="0"/>
        <w:keepLines w:val="0"/>
        <w:pageBreakBefore w:val="0"/>
        <w:widowControl/>
        <w:numPr>
          <w:numId w:val="0"/>
        </w:numPr>
        <w:shd w:val="clear" w:color="auto" w:fill="FFFFFF"/>
        <w:kinsoku/>
        <w:wordWrap/>
        <w:overflowPunct/>
        <w:topLinePunct w:val="0"/>
        <w:bidi w:val="0"/>
        <w:adjustRightInd/>
        <w:snapToGrid/>
        <w:spacing w:beforeAutospacing="0" w:afterAutospacing="0"/>
        <w:ind w:firstLine="640" w:firstLineChars="200"/>
        <w:jc w:val="left"/>
        <w:textAlignment w:val="auto"/>
        <w:rPr>
          <w:rFonts w:hint="eastAsia" w:ascii="仿宋_GB2312" w:hAnsi="仿宋_GB2312" w:eastAsia="仿宋_GB2312" w:cs="仿宋_GB2312"/>
          <w:b w:val="0"/>
          <w:bCs w:val="0"/>
          <w:color w:val="404040"/>
          <w:kern w:val="0"/>
          <w:sz w:val="32"/>
          <w:szCs w:val="32"/>
        </w:rPr>
      </w:pPr>
      <w:r>
        <w:rPr>
          <w:rFonts w:hint="eastAsia" w:ascii="仿宋_GB2312" w:hAnsi="仿宋_GB2312" w:eastAsia="仿宋_GB2312" w:cs="仿宋_GB2312"/>
          <w:color w:val="404040"/>
          <w:kern w:val="0"/>
          <w:sz w:val="32"/>
          <w:szCs w:val="32"/>
        </w:rPr>
        <w:t>规范化的繁殖养殖技术是保障水产品质量安全、保护水域生态环境、实现水产养殖绿色可持续发展的基础。制定统一的技术标准，有利于推广健康生态养殖模式，减少药物使用，提升南阳长丰鲢产品的品质和市场竞争力。</w:t>
      </w:r>
      <w:r>
        <w:rPr>
          <w:rFonts w:hint="eastAsia" w:ascii="仿宋_GB2312" w:hAnsi="仿宋_GB2312" w:eastAsia="仿宋_GB2312" w:cs="仿宋_GB2312"/>
          <w:b w:val="0"/>
          <w:bCs w:val="0"/>
          <w:color w:val="404040"/>
          <w:kern w:val="0"/>
          <w:sz w:val="32"/>
          <w:szCs w:val="32"/>
        </w:rPr>
        <w:t>制定《长丰鲢繁殖养殖技术规范》南阳市地方标准，对于科学指导全市长丰鲢生产，提升产业技术水平，保障水产品质量安全，促进渔业增效、渔民增收和渔业可持续发展，具有重要的现实意义和紧迫性。</w:t>
      </w:r>
    </w:p>
    <w:p w14:paraId="4CCFFE02">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0" w:firstLineChars="200"/>
        <w:jc w:val="left"/>
        <w:textAlignment w:val="auto"/>
        <w:outlineLvl w:val="2"/>
        <w:rPr>
          <w:rFonts w:hint="eastAsia" w:ascii="黑体" w:hAnsi="黑体" w:eastAsia="黑体" w:cs="黑体"/>
          <w:b w:val="0"/>
          <w:bCs w:val="0"/>
          <w:color w:val="404040"/>
          <w:kern w:val="0"/>
          <w:sz w:val="32"/>
          <w:szCs w:val="32"/>
        </w:rPr>
      </w:pPr>
      <w:r>
        <w:rPr>
          <w:rFonts w:hint="eastAsia" w:ascii="黑体" w:hAnsi="黑体" w:eastAsia="黑体" w:cs="黑体"/>
          <w:b w:val="0"/>
          <w:bCs w:val="0"/>
          <w:color w:val="404040"/>
          <w:kern w:val="0"/>
          <w:sz w:val="32"/>
          <w:szCs w:val="32"/>
        </w:rPr>
        <w:t>二、 任务来源</w:t>
      </w:r>
      <w:r>
        <w:rPr>
          <w:rFonts w:hint="eastAsia" w:ascii="黑体" w:hAnsi="黑体" w:eastAsia="黑体" w:cs="黑体"/>
          <w:b w:val="0"/>
          <w:bCs w:val="0"/>
          <w:color w:val="404040"/>
          <w:kern w:val="0"/>
          <w:sz w:val="32"/>
          <w:szCs w:val="32"/>
          <w:lang w:val="en-US" w:eastAsia="zh-CN"/>
        </w:rPr>
        <w:t>及</w:t>
      </w:r>
      <w:r>
        <w:rPr>
          <w:rFonts w:hint="eastAsia" w:ascii="黑体" w:hAnsi="黑体" w:eastAsia="黑体" w:cs="黑体"/>
          <w:b w:val="0"/>
          <w:bCs w:val="0"/>
          <w:color w:val="404040"/>
          <w:kern w:val="0"/>
          <w:sz w:val="32"/>
          <w:szCs w:val="32"/>
        </w:rPr>
        <w:t>编制</w:t>
      </w:r>
      <w:r>
        <w:rPr>
          <w:rFonts w:hint="eastAsia" w:ascii="黑体" w:hAnsi="黑体" w:eastAsia="黑体" w:cs="黑体"/>
          <w:b w:val="0"/>
          <w:bCs w:val="0"/>
          <w:color w:val="404040"/>
          <w:kern w:val="0"/>
          <w:sz w:val="32"/>
          <w:szCs w:val="32"/>
          <w:lang w:val="en-US" w:eastAsia="zh-CN"/>
        </w:rPr>
        <w:t>原则和</w:t>
      </w:r>
      <w:r>
        <w:rPr>
          <w:rFonts w:hint="eastAsia" w:ascii="黑体" w:hAnsi="黑体" w:eastAsia="黑体" w:cs="黑体"/>
          <w:b w:val="0"/>
          <w:bCs w:val="0"/>
          <w:color w:val="404040"/>
          <w:kern w:val="0"/>
          <w:sz w:val="32"/>
          <w:szCs w:val="32"/>
        </w:rPr>
        <w:t>依据</w:t>
      </w:r>
    </w:p>
    <w:p w14:paraId="33A877A5">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楷体" w:hAnsi="楷体" w:eastAsia="楷体" w:cs="楷体"/>
          <w:b w:val="0"/>
          <w:bCs w:val="0"/>
          <w:color w:val="404040"/>
          <w:kern w:val="0"/>
          <w:sz w:val="32"/>
          <w:szCs w:val="32"/>
        </w:rPr>
      </w:pPr>
      <w:r>
        <w:rPr>
          <w:rFonts w:hint="eastAsia" w:ascii="楷体" w:hAnsi="楷体" w:eastAsia="楷体" w:cs="楷体"/>
          <w:b w:val="0"/>
          <w:bCs w:val="0"/>
          <w:color w:val="404040"/>
          <w:kern w:val="0"/>
          <w:sz w:val="32"/>
          <w:szCs w:val="32"/>
          <w:lang w:val="en-US" w:eastAsia="zh-CN"/>
        </w:rPr>
        <w:t>（一）</w:t>
      </w:r>
      <w:r>
        <w:rPr>
          <w:rFonts w:hint="eastAsia" w:ascii="楷体" w:hAnsi="楷体" w:eastAsia="楷体" w:cs="楷体"/>
          <w:b w:val="0"/>
          <w:bCs w:val="0"/>
          <w:color w:val="404040"/>
          <w:kern w:val="0"/>
          <w:sz w:val="32"/>
          <w:szCs w:val="32"/>
        </w:rPr>
        <w:t>任务来源</w:t>
      </w:r>
    </w:p>
    <w:p w14:paraId="2FEB5D47">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 xml:space="preserve">本标准根据《南阳市市场监督管理局关于下达 </w:t>
      </w:r>
      <w:r>
        <w:rPr>
          <w:rFonts w:hint="eastAsia" w:ascii="仿宋_GB2312" w:hAnsi="仿宋_GB2312" w:eastAsia="仿宋_GB2312" w:cs="仿宋_GB2312"/>
          <w:color w:val="404040"/>
          <w:kern w:val="0"/>
          <w:sz w:val="32"/>
          <w:szCs w:val="32"/>
          <w:lang w:val="en-US" w:eastAsia="zh-CN"/>
        </w:rPr>
        <w:t>2025</w:t>
      </w:r>
      <w:r>
        <w:rPr>
          <w:rFonts w:hint="eastAsia" w:ascii="仿宋_GB2312" w:hAnsi="仿宋_GB2312" w:eastAsia="仿宋_GB2312" w:cs="仿宋_GB2312"/>
          <w:color w:val="404040"/>
          <w:kern w:val="0"/>
          <w:sz w:val="32"/>
          <w:szCs w:val="32"/>
        </w:rPr>
        <w:t xml:space="preserve"> 年南阳市地方标准制订计划的通知》（宛市监</w:t>
      </w:r>
      <w:r>
        <w:rPr>
          <w:rFonts w:hint="eastAsia" w:ascii="仿宋_GB2312" w:hAnsi="仿宋_GB2312" w:eastAsia="仿宋_GB2312" w:cs="仿宋_GB2312"/>
          <w:color w:val="404040"/>
          <w:kern w:val="0"/>
          <w:sz w:val="32"/>
          <w:szCs w:val="32"/>
          <w:lang w:val="en-US" w:eastAsia="zh-CN"/>
        </w:rPr>
        <w:t>函</w:t>
      </w:r>
      <w:r>
        <w:rPr>
          <w:rFonts w:hint="eastAsia" w:ascii="仿宋_GB2312" w:hAnsi="仿宋_GB2312" w:eastAsia="仿宋_GB2312" w:cs="仿宋_GB2312"/>
          <w:color w:val="404040"/>
          <w:kern w:val="0"/>
          <w:sz w:val="32"/>
          <w:szCs w:val="32"/>
        </w:rPr>
        <w:t>〔</w:t>
      </w:r>
      <w:r>
        <w:rPr>
          <w:rFonts w:hint="eastAsia" w:ascii="仿宋_GB2312" w:hAnsi="仿宋_GB2312" w:eastAsia="仿宋_GB2312" w:cs="仿宋_GB2312"/>
          <w:color w:val="404040"/>
          <w:kern w:val="0"/>
          <w:sz w:val="32"/>
          <w:szCs w:val="32"/>
          <w:lang w:val="en-US" w:eastAsia="zh-CN"/>
        </w:rPr>
        <w:t>2025</w:t>
      </w:r>
      <w:r>
        <w:rPr>
          <w:rFonts w:hint="eastAsia" w:ascii="仿宋_GB2312" w:hAnsi="仿宋_GB2312" w:eastAsia="仿宋_GB2312" w:cs="仿宋_GB2312"/>
          <w:color w:val="404040"/>
          <w:kern w:val="0"/>
          <w:sz w:val="32"/>
          <w:szCs w:val="32"/>
        </w:rPr>
        <w:t>〕</w:t>
      </w:r>
      <w:r>
        <w:rPr>
          <w:rFonts w:hint="eastAsia" w:ascii="仿宋_GB2312" w:hAnsi="仿宋_GB2312" w:eastAsia="仿宋_GB2312" w:cs="仿宋_GB2312"/>
          <w:color w:val="404040"/>
          <w:kern w:val="0"/>
          <w:sz w:val="32"/>
          <w:szCs w:val="32"/>
          <w:lang w:val="en-US" w:eastAsia="zh-CN"/>
        </w:rPr>
        <w:t>12</w:t>
      </w:r>
      <w:r>
        <w:rPr>
          <w:rFonts w:hint="eastAsia" w:ascii="仿宋_GB2312" w:hAnsi="仿宋_GB2312" w:eastAsia="仿宋_GB2312" w:cs="仿宋_GB2312"/>
          <w:color w:val="404040"/>
          <w:kern w:val="0"/>
          <w:sz w:val="32"/>
          <w:szCs w:val="32"/>
        </w:rPr>
        <w:t xml:space="preserve"> 号）文件立项。</w:t>
      </w:r>
    </w:p>
    <w:p w14:paraId="58D877E6">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楷体" w:hAnsi="楷体" w:eastAsia="楷体" w:cs="楷体"/>
          <w:b w:val="0"/>
          <w:bCs w:val="0"/>
          <w:color w:val="404040"/>
          <w:kern w:val="0"/>
          <w:sz w:val="32"/>
          <w:szCs w:val="32"/>
          <w:lang w:val="en-US" w:eastAsia="zh-CN"/>
        </w:rPr>
      </w:pPr>
      <w:r>
        <w:rPr>
          <w:rFonts w:hint="eastAsia" w:ascii="楷体" w:hAnsi="楷体" w:eastAsia="楷体" w:cs="楷体"/>
          <w:b w:val="0"/>
          <w:bCs w:val="0"/>
          <w:color w:val="404040"/>
          <w:kern w:val="0"/>
          <w:sz w:val="32"/>
          <w:szCs w:val="32"/>
          <w:lang w:val="en-US" w:eastAsia="zh-CN"/>
        </w:rPr>
        <w:t>（二）编制原则及依据</w:t>
      </w:r>
    </w:p>
    <w:p w14:paraId="683DD221">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b w:val="0"/>
          <w:bCs w:val="0"/>
          <w:color w:val="404040"/>
          <w:kern w:val="0"/>
          <w:sz w:val="32"/>
          <w:szCs w:val="32"/>
        </w:rPr>
        <w:t>规范性：</w:t>
      </w:r>
      <w:r>
        <w:rPr>
          <w:rFonts w:hint="eastAsia" w:ascii="仿宋_GB2312" w:hAnsi="仿宋_GB2312" w:eastAsia="仿宋_GB2312" w:cs="仿宋_GB2312"/>
          <w:color w:val="404040"/>
          <w:kern w:val="0"/>
          <w:sz w:val="32"/>
          <w:szCs w:val="32"/>
        </w:rPr>
        <w:t> 严格遵循 GB/T 1.1《标准化工作导则 第1部分：标准化文件的结构和起草规则》的要求，确保标准结构和表述的规范性。</w:t>
      </w:r>
    </w:p>
    <w:p w14:paraId="51481F93">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b w:val="0"/>
          <w:bCs w:val="0"/>
          <w:color w:val="404040"/>
          <w:kern w:val="0"/>
          <w:sz w:val="32"/>
          <w:szCs w:val="32"/>
        </w:rPr>
      </w:pPr>
      <w:r>
        <w:rPr>
          <w:rFonts w:hint="eastAsia" w:ascii="仿宋_GB2312" w:hAnsi="仿宋_GB2312" w:eastAsia="仿宋_GB2312" w:cs="仿宋_GB2312"/>
          <w:b w:val="0"/>
          <w:bCs w:val="0"/>
          <w:color w:val="404040"/>
          <w:kern w:val="0"/>
          <w:sz w:val="32"/>
          <w:szCs w:val="32"/>
        </w:rPr>
        <w:t>科学性： 以长丰鲢的生物学特性为基础，充分吸收</w:t>
      </w:r>
      <w:r>
        <w:rPr>
          <w:rFonts w:hint="eastAsia" w:ascii="仿宋_GB2312" w:hAnsi="仿宋_GB2312" w:eastAsia="仿宋_GB2312" w:cs="仿宋_GB2312"/>
          <w:b w:val="0"/>
          <w:bCs w:val="0"/>
          <w:color w:val="404040"/>
          <w:kern w:val="0"/>
          <w:sz w:val="32"/>
          <w:szCs w:val="32"/>
          <w:lang w:val="en-US" w:eastAsia="zh-CN"/>
        </w:rPr>
        <w:t>省</w:t>
      </w:r>
      <w:r>
        <w:rPr>
          <w:rFonts w:hint="eastAsia" w:ascii="仿宋_GB2312" w:hAnsi="仿宋_GB2312" w:eastAsia="仿宋_GB2312" w:cs="仿宋_GB2312"/>
          <w:b w:val="0"/>
          <w:bCs w:val="0"/>
          <w:color w:val="404040"/>
          <w:kern w:val="0"/>
          <w:sz w:val="32"/>
          <w:szCs w:val="32"/>
        </w:rPr>
        <w:t>内外先进技术和南阳市的实践经验，确保技术内容的科学性和先进性。</w:t>
      </w:r>
    </w:p>
    <w:p w14:paraId="226D1079">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b w:val="0"/>
          <w:bCs w:val="0"/>
          <w:color w:val="404040"/>
          <w:kern w:val="0"/>
          <w:sz w:val="32"/>
          <w:szCs w:val="32"/>
        </w:rPr>
      </w:pPr>
      <w:r>
        <w:rPr>
          <w:rFonts w:hint="eastAsia" w:ascii="仿宋_GB2312" w:hAnsi="仿宋_GB2312" w:eastAsia="仿宋_GB2312" w:cs="仿宋_GB2312"/>
          <w:b w:val="0"/>
          <w:bCs w:val="0"/>
          <w:color w:val="404040"/>
          <w:kern w:val="0"/>
          <w:sz w:val="32"/>
          <w:szCs w:val="32"/>
        </w:rPr>
        <w:t>实用性： 紧密结合南阳市的水域环境条件、气候特点和养殖实际，制定切实可行、便于操作的技术规范，便于广大养殖户和生产者掌握应用。</w:t>
      </w:r>
    </w:p>
    <w:p w14:paraId="381F8D84">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b w:val="0"/>
          <w:bCs w:val="0"/>
          <w:color w:val="404040"/>
          <w:kern w:val="0"/>
          <w:sz w:val="32"/>
          <w:szCs w:val="32"/>
        </w:rPr>
      </w:pPr>
      <w:r>
        <w:rPr>
          <w:rFonts w:hint="eastAsia" w:ascii="仿宋_GB2312" w:hAnsi="仿宋_GB2312" w:eastAsia="仿宋_GB2312" w:cs="仿宋_GB2312"/>
          <w:b w:val="0"/>
          <w:bCs w:val="0"/>
          <w:color w:val="404040"/>
          <w:kern w:val="0"/>
          <w:sz w:val="32"/>
          <w:szCs w:val="32"/>
        </w:rPr>
        <w:t>协调性： 与现行的国家、行业和地方相关标准协调一致，避免冲突。</w:t>
      </w:r>
    </w:p>
    <w:p w14:paraId="72830AAC">
      <w:pPr>
        <w:keepNext w:val="0"/>
        <w:keepLines w:val="0"/>
        <w:pageBreakBefore w:val="0"/>
        <w:numPr>
          <w:ilvl w:val="0"/>
          <w:numId w:val="3"/>
        </w:numPr>
        <w:kinsoku/>
        <w:wordWrap/>
        <w:overflowPunct/>
        <w:topLinePunct w:val="0"/>
        <w:bidi w:val="0"/>
        <w:adjustRightInd/>
        <w:snapToGrid/>
        <w:spacing w:beforeAutospacing="0" w:afterAutospacing="0"/>
        <w:ind w:left="0" w:leftChars="0" w:firstLine="643" w:firstLineChars="200"/>
        <w:textAlignment w:val="auto"/>
        <w:rPr>
          <w:rFonts w:hint="eastAsia" w:ascii="黑体" w:hAnsi="黑体" w:eastAsia="黑体" w:cs="黑体"/>
          <w:b/>
          <w:bCs/>
          <w:color w:val="404040"/>
          <w:kern w:val="0"/>
          <w:sz w:val="32"/>
          <w:szCs w:val="32"/>
        </w:rPr>
      </w:pPr>
      <w:r>
        <w:rPr>
          <w:rFonts w:hint="eastAsia" w:ascii="黑体" w:hAnsi="黑体" w:eastAsia="黑体" w:cs="黑体"/>
          <w:b/>
          <w:bCs/>
          <w:color w:val="404040"/>
          <w:kern w:val="0"/>
          <w:sz w:val="32"/>
          <w:szCs w:val="32"/>
          <w:lang w:val="en-US" w:eastAsia="zh-CN"/>
        </w:rPr>
        <w:t>编制</w:t>
      </w:r>
      <w:r>
        <w:rPr>
          <w:rFonts w:hint="eastAsia" w:ascii="黑体" w:hAnsi="黑体" w:eastAsia="黑体" w:cs="黑体"/>
          <w:b/>
          <w:bCs/>
          <w:color w:val="404040"/>
          <w:kern w:val="0"/>
          <w:sz w:val="32"/>
          <w:szCs w:val="32"/>
        </w:rPr>
        <w:t>过程</w:t>
      </w:r>
    </w:p>
    <w:p w14:paraId="19DE8CFC">
      <w:pPr>
        <w:keepNext w:val="0"/>
        <w:keepLines w:val="0"/>
        <w:pageBreakBefore w:val="0"/>
        <w:kinsoku/>
        <w:wordWrap/>
        <w:overflowPunct/>
        <w:topLinePunct w:val="0"/>
        <w:bidi w:val="0"/>
        <w:adjustRightInd/>
        <w:snapToGrid/>
        <w:spacing w:beforeAutospacing="0" w:afterAutospacing="0"/>
        <w:ind w:left="0" w:leftChars="0" w:firstLine="320" w:firstLineChars="100"/>
        <w:textAlignment w:val="auto"/>
        <w:rPr>
          <w:rFonts w:hint="eastAsia" w:ascii="楷体" w:hAnsi="楷体" w:eastAsia="楷体" w:cs="楷体"/>
          <w:sz w:val="32"/>
          <w:szCs w:val="32"/>
        </w:rPr>
      </w:pPr>
      <w:r>
        <w:rPr>
          <w:rFonts w:hint="eastAsia" w:ascii="楷体" w:hAnsi="楷体" w:eastAsia="楷体" w:cs="楷体"/>
          <w:sz w:val="32"/>
          <w:szCs w:val="32"/>
        </w:rPr>
        <w:t>（一）标准起草阶段</w:t>
      </w:r>
    </w:p>
    <w:p w14:paraId="09D36D53">
      <w:pPr>
        <w:keepNext w:val="0"/>
        <w:keepLines w:val="0"/>
        <w:pageBreakBefore w:val="0"/>
        <w:kinsoku/>
        <w:wordWrap/>
        <w:overflowPunct/>
        <w:topLinePunct w:val="0"/>
        <w:bidi w:val="0"/>
        <w:adjustRightInd/>
        <w:snapToGrid/>
        <w:spacing w:beforeAutospacing="0" w:afterAutospacing="0"/>
        <w:ind w:left="0" w:leftChars="0"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2025</w:t>
      </w:r>
      <w:r>
        <w:rPr>
          <w:rFonts w:hint="eastAsia" w:ascii="仿宋" w:hAnsi="仿宋" w:eastAsia="仿宋"/>
          <w:sz w:val="32"/>
          <w:szCs w:val="32"/>
        </w:rPr>
        <w:t>年</w:t>
      </w:r>
      <w:r>
        <w:rPr>
          <w:rFonts w:hint="eastAsia" w:ascii="仿宋" w:hAnsi="仿宋" w:eastAsia="仿宋"/>
          <w:sz w:val="32"/>
          <w:szCs w:val="32"/>
          <w:lang w:val="en-US" w:eastAsia="zh-CN"/>
        </w:rPr>
        <w:t>4</w:t>
      </w:r>
      <w:r>
        <w:rPr>
          <w:rFonts w:ascii="仿宋" w:hAnsi="仿宋" w:eastAsia="仿宋"/>
          <w:sz w:val="32"/>
          <w:szCs w:val="32"/>
        </w:rPr>
        <w:t>月</w:t>
      </w:r>
      <w:r>
        <w:rPr>
          <w:rFonts w:hint="eastAsia" w:ascii="仿宋" w:hAnsi="仿宋" w:eastAsia="仿宋"/>
          <w:sz w:val="32"/>
          <w:szCs w:val="32"/>
        </w:rPr>
        <w:t>本标准经南阳市市场监督管理局立项通过后，成立了《</w:t>
      </w:r>
      <w:r>
        <w:rPr>
          <w:rFonts w:hint="eastAsia" w:ascii="仿宋" w:hAnsi="仿宋" w:eastAsia="仿宋"/>
          <w:sz w:val="32"/>
          <w:szCs w:val="32"/>
          <w:lang w:val="en-US" w:eastAsia="zh-CN"/>
        </w:rPr>
        <w:t>长丰鲢繁殖养殖技术规范</w:t>
      </w:r>
      <w:r>
        <w:rPr>
          <w:rFonts w:hint="eastAsia" w:ascii="仿宋" w:hAnsi="仿宋" w:eastAsia="仿宋"/>
          <w:sz w:val="32"/>
          <w:szCs w:val="32"/>
        </w:rPr>
        <w:t>》起草项目组。项目组由</w:t>
      </w:r>
      <w:r>
        <w:rPr>
          <w:rFonts w:hint="eastAsia" w:ascii="仿宋" w:hAnsi="仿宋" w:eastAsia="仿宋"/>
          <w:sz w:val="32"/>
          <w:szCs w:val="32"/>
          <w:lang w:val="en-US" w:eastAsia="zh-CN"/>
        </w:rPr>
        <w:t>南阳市农业（水产）技术推广中心齐庆</w:t>
      </w:r>
      <w:r>
        <w:rPr>
          <w:rFonts w:hint="eastAsia" w:ascii="仿宋" w:hAnsi="仿宋" w:eastAsia="仿宋"/>
          <w:sz w:val="32"/>
          <w:szCs w:val="32"/>
        </w:rPr>
        <w:t>同志负责，</w:t>
      </w:r>
      <w:r>
        <w:rPr>
          <w:rFonts w:hint="eastAsia" w:ascii="仿宋" w:hAnsi="仿宋" w:eastAsia="仿宋"/>
          <w:sz w:val="32"/>
          <w:szCs w:val="32"/>
          <w:lang w:val="en-US" w:eastAsia="zh-CN"/>
        </w:rPr>
        <w:t>陈云</w:t>
      </w:r>
      <w:r>
        <w:rPr>
          <w:rFonts w:hint="eastAsia" w:ascii="仿宋" w:hAnsi="仿宋" w:eastAsia="仿宋"/>
          <w:sz w:val="32"/>
          <w:szCs w:val="32"/>
        </w:rPr>
        <w:t>、</w:t>
      </w:r>
      <w:r>
        <w:rPr>
          <w:rFonts w:hint="eastAsia" w:ascii="仿宋" w:hAnsi="仿宋" w:eastAsia="仿宋"/>
          <w:sz w:val="32"/>
          <w:szCs w:val="32"/>
          <w:lang w:val="en-US" w:eastAsia="zh-CN"/>
        </w:rPr>
        <w:t>张芹</w:t>
      </w:r>
      <w:r>
        <w:rPr>
          <w:rFonts w:hint="eastAsia" w:ascii="仿宋" w:hAnsi="仿宋" w:eastAsia="仿宋"/>
          <w:sz w:val="32"/>
          <w:szCs w:val="32"/>
        </w:rPr>
        <w:t>、</w:t>
      </w:r>
      <w:r>
        <w:rPr>
          <w:rFonts w:hint="eastAsia" w:ascii="仿宋" w:hAnsi="仿宋" w:eastAsia="仿宋"/>
          <w:sz w:val="32"/>
          <w:szCs w:val="32"/>
          <w:lang w:val="en-US" w:eastAsia="zh-CN"/>
        </w:rPr>
        <w:t>杨兴丽、陈峰、马忠良</w:t>
      </w:r>
      <w:r>
        <w:rPr>
          <w:rFonts w:hint="eastAsia" w:ascii="仿宋" w:hAnsi="仿宋" w:eastAsia="仿宋"/>
          <w:sz w:val="32"/>
          <w:szCs w:val="32"/>
        </w:rPr>
        <w:t>等为成员。在前期研究基础上，收集、研究相关国家、行业标准，查阅相关文献资料，经过多次讨论、反复修改，于</w:t>
      </w:r>
      <w:r>
        <w:rPr>
          <w:rFonts w:hint="eastAsia" w:ascii="仿宋" w:hAnsi="仿宋" w:eastAsia="仿宋"/>
          <w:sz w:val="32"/>
          <w:szCs w:val="32"/>
          <w:lang w:val="en-US" w:eastAsia="zh-CN"/>
        </w:rPr>
        <w:t>2025</w:t>
      </w:r>
      <w:r>
        <w:rPr>
          <w:rFonts w:hint="eastAsia" w:ascii="仿宋" w:hAnsi="仿宋" w:eastAsia="仿宋"/>
          <w:sz w:val="32"/>
          <w:szCs w:val="32"/>
        </w:rPr>
        <w:t>年</w:t>
      </w:r>
      <w:r>
        <w:rPr>
          <w:rFonts w:hint="eastAsia" w:ascii="仿宋" w:hAnsi="仿宋" w:eastAsia="仿宋"/>
          <w:sz w:val="32"/>
          <w:szCs w:val="32"/>
          <w:lang w:val="en-US" w:eastAsia="zh-CN"/>
        </w:rPr>
        <w:t>6</w:t>
      </w:r>
      <w:r>
        <w:rPr>
          <w:rFonts w:hint="eastAsia" w:ascii="仿宋" w:hAnsi="仿宋" w:eastAsia="仿宋"/>
          <w:sz w:val="32"/>
          <w:szCs w:val="32"/>
        </w:rPr>
        <w:t xml:space="preserve">月编制出征求意见稿。 </w:t>
      </w:r>
      <w:r>
        <w:rPr>
          <w:rFonts w:ascii="仿宋" w:hAnsi="仿宋" w:eastAsia="仿宋"/>
          <w:sz w:val="32"/>
          <w:szCs w:val="32"/>
        </w:rPr>
        <w:t xml:space="preserve"> </w:t>
      </w:r>
    </w:p>
    <w:p w14:paraId="6AAB0A8E">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3" w:firstLineChars="200"/>
        <w:jc w:val="left"/>
        <w:textAlignment w:val="auto"/>
        <w:outlineLvl w:val="2"/>
        <w:rPr>
          <w:rFonts w:hint="eastAsia" w:ascii="仿宋_GB2312" w:hAnsi="仿宋_GB2312" w:eastAsia="仿宋_GB2312" w:cs="仿宋_GB2312"/>
          <w:b/>
          <w:bCs/>
          <w:color w:val="404040"/>
          <w:kern w:val="0"/>
          <w:sz w:val="32"/>
          <w:szCs w:val="32"/>
          <w:lang w:val="en-US" w:eastAsia="zh-CN"/>
        </w:rPr>
      </w:pPr>
      <w:r>
        <w:rPr>
          <w:rFonts w:hint="eastAsia" w:ascii="仿宋_GB2312" w:hAnsi="仿宋_GB2312" w:eastAsia="仿宋_GB2312" w:cs="仿宋_GB2312"/>
          <w:b/>
          <w:bCs/>
          <w:color w:val="404040"/>
          <w:kern w:val="0"/>
          <w:sz w:val="32"/>
          <w:szCs w:val="32"/>
        </w:rPr>
        <w:t xml:space="preserve">四、 </w:t>
      </w:r>
      <w:r>
        <w:rPr>
          <w:rFonts w:hint="eastAsia" w:ascii="仿宋_GB2312" w:hAnsi="仿宋_GB2312" w:eastAsia="仿宋_GB2312" w:cs="仿宋_GB2312"/>
          <w:b/>
          <w:bCs/>
          <w:color w:val="404040"/>
          <w:kern w:val="0"/>
          <w:sz w:val="32"/>
          <w:szCs w:val="32"/>
          <w:lang w:val="en-US" w:eastAsia="zh-CN"/>
        </w:rPr>
        <w:t xml:space="preserve">主要内容的确定 </w:t>
      </w:r>
    </w:p>
    <w:p w14:paraId="0DD17CA7">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本标准规定了长丰鲢（</w:t>
      </w:r>
      <w:r>
        <w:rPr>
          <w:rFonts w:hint="eastAsia" w:ascii="仿宋_GB2312" w:hAnsi="仿宋_GB2312" w:eastAsia="仿宋_GB2312" w:cs="仿宋_GB2312"/>
          <w:color w:val="404040"/>
          <w:kern w:val="0"/>
          <w:sz w:val="32"/>
          <w:szCs w:val="32"/>
          <w:lang w:val="en-US" w:eastAsia="zh-CN"/>
        </w:rPr>
        <w:t>Changfeng Silver Carp</w:t>
      </w:r>
      <w:r>
        <w:rPr>
          <w:rFonts w:hint="eastAsia" w:ascii="仿宋_GB2312" w:hAnsi="仿宋_GB2312" w:eastAsia="仿宋_GB2312" w:cs="仿宋_GB2312"/>
          <w:color w:val="404040"/>
          <w:kern w:val="0"/>
          <w:sz w:val="32"/>
          <w:szCs w:val="32"/>
        </w:rPr>
        <w:t>）繁殖和养殖的环境条件、亲鱼培育与选择、人工繁殖、苗种培育、成鱼饲养、病害防控、</w:t>
      </w:r>
      <w:r>
        <w:rPr>
          <w:rFonts w:hint="eastAsia" w:ascii="仿宋_GB2312" w:hAnsi="仿宋_GB2312" w:eastAsia="仿宋_GB2312" w:cs="仿宋_GB2312"/>
          <w:color w:val="404040"/>
          <w:kern w:val="0"/>
          <w:sz w:val="32"/>
          <w:szCs w:val="32"/>
          <w:lang w:val="en-US" w:eastAsia="zh-CN"/>
        </w:rPr>
        <w:t>苗种</w:t>
      </w:r>
      <w:r>
        <w:rPr>
          <w:rFonts w:hint="eastAsia" w:ascii="仿宋_GB2312" w:hAnsi="仿宋_GB2312" w:eastAsia="仿宋_GB2312" w:cs="仿宋_GB2312"/>
          <w:color w:val="404040"/>
          <w:kern w:val="0"/>
          <w:sz w:val="32"/>
          <w:szCs w:val="32"/>
        </w:rPr>
        <w:t>运输等技术要求。</w:t>
      </w:r>
    </w:p>
    <w:p w14:paraId="18D2BC2F">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b w:val="0"/>
          <w:bCs w:val="0"/>
          <w:color w:val="404040"/>
          <w:kern w:val="0"/>
          <w:sz w:val="32"/>
          <w:szCs w:val="32"/>
        </w:rPr>
        <w:t>场地要求</w:t>
      </w:r>
      <w:r>
        <w:rPr>
          <w:rFonts w:hint="eastAsia" w:ascii="仿宋_GB2312" w:hAnsi="仿宋_GB2312" w:eastAsia="仿宋_GB2312" w:cs="仿宋_GB2312"/>
          <w:b w:val="0"/>
          <w:bCs w:val="0"/>
          <w:color w:val="404040"/>
          <w:kern w:val="0"/>
          <w:sz w:val="32"/>
          <w:szCs w:val="32"/>
          <w:lang w:eastAsia="zh-CN"/>
        </w:rPr>
        <w:t>，</w:t>
      </w:r>
      <w:r>
        <w:rPr>
          <w:rFonts w:hint="eastAsia" w:ascii="仿宋_GB2312" w:hAnsi="仿宋_GB2312" w:eastAsia="仿宋_GB2312" w:cs="仿宋_GB2312"/>
          <w:color w:val="404040"/>
          <w:kern w:val="0"/>
          <w:sz w:val="32"/>
          <w:szCs w:val="32"/>
        </w:rPr>
        <w:t>水源充足、交通便利、电力保障、生态环境良好。</w:t>
      </w:r>
      <w:r>
        <w:rPr>
          <w:rFonts w:hint="eastAsia" w:ascii="仿宋_GB2312" w:hAnsi="仿宋_GB2312" w:eastAsia="仿宋_GB2312" w:cs="仿宋_GB2312"/>
          <w:b w:val="0"/>
          <w:bCs w:val="0"/>
          <w:color w:val="404040"/>
          <w:kern w:val="0"/>
          <w:sz w:val="32"/>
          <w:szCs w:val="32"/>
        </w:rPr>
        <w:t>水质要求</w:t>
      </w:r>
      <w:r>
        <w:rPr>
          <w:rFonts w:hint="eastAsia" w:ascii="仿宋_GB2312" w:hAnsi="仿宋_GB2312" w:eastAsia="仿宋_GB2312" w:cs="仿宋_GB2312"/>
          <w:b w:val="0"/>
          <w:bCs w:val="0"/>
          <w:color w:val="404040"/>
          <w:kern w:val="0"/>
          <w:sz w:val="32"/>
          <w:szCs w:val="32"/>
          <w:lang w:eastAsia="zh-CN"/>
        </w:rPr>
        <w:t>，</w:t>
      </w:r>
      <w:r>
        <w:rPr>
          <w:rFonts w:hint="eastAsia" w:ascii="仿宋_GB2312" w:hAnsi="仿宋_GB2312" w:eastAsia="仿宋_GB2312" w:cs="仿宋_GB2312"/>
          <w:color w:val="404040"/>
          <w:kern w:val="0"/>
          <w:sz w:val="32"/>
          <w:szCs w:val="32"/>
        </w:rPr>
        <w:t>引用 NY 5051，明确溶解氧、pH、氨氮、亚硝酸盐等关键指标限值。</w:t>
      </w:r>
      <w:r>
        <w:rPr>
          <w:rFonts w:hint="eastAsia" w:ascii="仿宋_GB2312" w:hAnsi="仿宋_GB2312" w:eastAsia="仿宋_GB2312" w:cs="仿宋_GB2312"/>
          <w:color w:val="404040"/>
          <w:kern w:val="0"/>
          <w:sz w:val="32"/>
          <w:szCs w:val="32"/>
          <w:lang w:val="en-US" w:eastAsia="zh-CN"/>
        </w:rPr>
        <w:t>结合南阳的池塘类型</w:t>
      </w:r>
      <w:r>
        <w:rPr>
          <w:rFonts w:hint="eastAsia" w:ascii="仿宋_GB2312" w:hAnsi="仿宋_GB2312" w:eastAsia="仿宋_GB2312" w:cs="仿宋_GB2312"/>
          <w:color w:val="404040"/>
          <w:kern w:val="0"/>
          <w:sz w:val="32"/>
          <w:szCs w:val="32"/>
        </w:rPr>
        <w:t>对用于繁殖</w:t>
      </w:r>
      <w:r>
        <w:rPr>
          <w:rFonts w:hint="eastAsia" w:ascii="仿宋_GB2312" w:hAnsi="仿宋_GB2312" w:eastAsia="仿宋_GB2312" w:cs="仿宋_GB2312"/>
          <w:color w:val="404040"/>
          <w:kern w:val="0"/>
          <w:sz w:val="32"/>
          <w:szCs w:val="32"/>
          <w:lang w:eastAsia="zh-CN"/>
        </w:rPr>
        <w:t>的</w:t>
      </w:r>
      <w:r>
        <w:rPr>
          <w:rFonts w:hint="eastAsia" w:ascii="仿宋_GB2312" w:hAnsi="仿宋_GB2312" w:eastAsia="仿宋_GB2312" w:cs="仿宋_GB2312"/>
          <w:color w:val="404040"/>
          <w:kern w:val="0"/>
          <w:sz w:val="32"/>
          <w:szCs w:val="32"/>
        </w:rPr>
        <w:t>亲鱼池、产卵池、孵化池、苗种培育、成鱼养殖的池塘面积、水深、底质、进排水设施等提出具体要求。</w:t>
      </w:r>
    </w:p>
    <w:p w14:paraId="33515AEE">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lang w:val="en-US" w:eastAsia="zh-CN"/>
        </w:rPr>
      </w:pPr>
      <w:r>
        <w:rPr>
          <w:rFonts w:hint="eastAsia" w:ascii="仿宋_GB2312" w:hAnsi="仿宋_GB2312" w:eastAsia="仿宋_GB2312" w:cs="仿宋_GB2312"/>
          <w:color w:val="404040"/>
          <w:kern w:val="0"/>
          <w:sz w:val="32"/>
          <w:szCs w:val="32"/>
        </w:rPr>
        <w:t> 依据南阳气候特点</w:t>
      </w:r>
      <w:r>
        <w:rPr>
          <w:rFonts w:hint="eastAsia" w:ascii="仿宋_GB2312" w:hAnsi="仿宋_GB2312" w:eastAsia="仿宋_GB2312" w:cs="仿宋_GB2312"/>
          <w:color w:val="404040"/>
          <w:kern w:val="0"/>
          <w:sz w:val="32"/>
          <w:szCs w:val="32"/>
          <w:lang w:eastAsia="zh-CN"/>
        </w:rPr>
        <w:t>，</w:t>
      </w:r>
      <w:r>
        <w:rPr>
          <w:rFonts w:hint="eastAsia" w:ascii="仿宋_GB2312" w:hAnsi="仿宋_GB2312" w:eastAsia="仿宋_GB2312" w:cs="仿宋_GB2312"/>
          <w:color w:val="404040"/>
          <w:kern w:val="0"/>
          <w:sz w:val="32"/>
          <w:szCs w:val="32"/>
        </w:rPr>
        <w:t>水温稳定在</w:t>
      </w:r>
      <w:r>
        <w:rPr>
          <w:rFonts w:hint="eastAsia" w:ascii="仿宋_GB2312" w:hAnsi="仿宋_GB2312" w:eastAsia="仿宋_GB2312" w:cs="仿宋_GB2312"/>
          <w:color w:val="404040"/>
          <w:kern w:val="0"/>
          <w:sz w:val="32"/>
          <w:szCs w:val="32"/>
          <w:lang w:val="en-US" w:eastAsia="zh-CN"/>
        </w:rPr>
        <w:t>20</w:t>
      </w:r>
      <w:r>
        <w:rPr>
          <w:rFonts w:hint="eastAsia" w:ascii="仿宋_GB2312" w:hAnsi="仿宋_GB2312" w:eastAsia="仿宋_GB2312" w:cs="仿宋_GB2312"/>
          <w:color w:val="404040"/>
          <w:kern w:val="0"/>
          <w:sz w:val="32"/>
          <w:szCs w:val="32"/>
        </w:rPr>
        <w:t>℃以上，</w:t>
      </w:r>
      <w:r>
        <w:rPr>
          <w:rFonts w:hint="eastAsia" w:ascii="仿宋_GB2312" w:hAnsi="仿宋_GB2312" w:eastAsia="仿宋_GB2312" w:cs="仿宋_GB2312"/>
          <w:color w:val="404040"/>
          <w:kern w:val="0"/>
          <w:sz w:val="32"/>
          <w:szCs w:val="32"/>
          <w:lang w:val="en-US" w:eastAsia="zh-CN"/>
        </w:rPr>
        <w:t>进行催产</w:t>
      </w:r>
      <w:r>
        <w:rPr>
          <w:rFonts w:hint="eastAsia" w:ascii="仿宋_GB2312" w:hAnsi="仿宋_GB2312" w:eastAsia="仿宋_GB2312" w:cs="仿宋_GB2312"/>
          <w:color w:val="404040"/>
          <w:kern w:val="0"/>
          <w:sz w:val="32"/>
          <w:szCs w:val="32"/>
        </w:rPr>
        <w:t>。</w:t>
      </w:r>
      <w:r>
        <w:rPr>
          <w:rFonts w:hint="eastAsia" w:ascii="仿宋_GB2312" w:hAnsi="仿宋_GB2312" w:eastAsia="仿宋_GB2312" w:cs="仿宋_GB2312"/>
          <w:b w:val="0"/>
          <w:bCs w:val="0"/>
          <w:color w:val="404040"/>
          <w:kern w:val="0"/>
          <w:sz w:val="32"/>
          <w:szCs w:val="32"/>
        </w:rPr>
        <w:t>催产药物与剂量：</w:t>
      </w:r>
      <w:r>
        <w:rPr>
          <w:rFonts w:hint="eastAsia" w:ascii="仿宋_GB2312" w:hAnsi="仿宋_GB2312" w:eastAsia="仿宋_GB2312" w:cs="仿宋_GB2312"/>
          <w:color w:val="404040"/>
          <w:kern w:val="0"/>
          <w:sz w:val="32"/>
          <w:szCs w:val="32"/>
        </w:rPr>
        <w:t> 规定常用的催产剂种类</w:t>
      </w:r>
      <w:r>
        <w:rPr>
          <w:rFonts w:hint="eastAsia" w:ascii="仿宋_GB2312" w:hAnsi="仿宋_GB2312" w:eastAsia="仿宋_GB2312" w:cs="仿宋_GB2312"/>
          <w:color w:val="404040"/>
          <w:kern w:val="0"/>
          <w:sz w:val="32"/>
          <w:szCs w:val="32"/>
          <w:lang w:val="en-US" w:eastAsia="zh-CN"/>
        </w:rPr>
        <w:t>绒毛膜促性腺激素和促黄体释放激素</w:t>
      </w:r>
      <w:r>
        <w:rPr>
          <w:rFonts w:hint="eastAsia" w:ascii="仿宋_GB2312" w:hAnsi="仿宋_GB2312" w:eastAsia="仿宋_GB2312" w:cs="仿宋_GB2312"/>
          <w:color w:val="404040"/>
          <w:kern w:val="0"/>
          <w:sz w:val="32"/>
          <w:szCs w:val="32"/>
        </w:rPr>
        <w:t>及其组合方式、注射剂量、注射次数和方法。</w:t>
      </w:r>
      <w:r>
        <w:rPr>
          <w:rFonts w:hint="eastAsia" w:ascii="仿宋_GB2312" w:hAnsi="仿宋_GB2312" w:eastAsia="仿宋_GB2312" w:cs="仿宋_GB2312"/>
          <w:color w:val="404040"/>
          <w:kern w:val="0"/>
          <w:sz w:val="32"/>
          <w:szCs w:val="32"/>
          <w:lang w:val="en-US" w:eastAsia="zh-CN"/>
        </w:rPr>
        <w:t>经催产药物实验对比，发现采用绒毛膜促性腺激素与促黄体释放激素复合催产剂二次注射的方法，产卵率提高10%-15%。经在不同温度下反复进行人工繁殖试验和对比，22-25℃时，催产效果最好，效应时间最短，受精率、孵化率和出苗率最高，受精率提高15%以上，孵化率、出苗率达到85%以上。</w:t>
      </w:r>
    </w:p>
    <w:p w14:paraId="7CDD6297">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黑体" w:hAnsi="黑体" w:eastAsia="黑体" w:cs="黑体"/>
          <w:color w:val="404040"/>
          <w:kern w:val="0"/>
          <w:sz w:val="32"/>
          <w:szCs w:val="32"/>
          <w:lang w:val="en-US" w:eastAsia="zh-CN"/>
        </w:rPr>
      </w:pPr>
      <w:r>
        <w:rPr>
          <w:rFonts w:hint="eastAsia" w:ascii="黑体" w:hAnsi="黑体" w:eastAsia="黑体" w:cs="黑体"/>
          <w:color w:val="404040"/>
          <w:kern w:val="0"/>
          <w:sz w:val="32"/>
          <w:szCs w:val="32"/>
          <w:lang w:val="en-US" w:eastAsia="zh-CN"/>
        </w:rPr>
        <w:t>五、采标情况</w:t>
      </w:r>
    </w:p>
    <w:p w14:paraId="202C2BD6">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0" w:firstLineChars="200"/>
        <w:jc w:val="left"/>
        <w:textAlignment w:val="auto"/>
        <w:outlineLvl w:val="2"/>
        <w:rPr>
          <w:rFonts w:hint="eastAsia" w:ascii="仿宋_GB2312" w:hAnsi="仿宋_GB2312" w:eastAsia="仿宋_GB2312" w:cs="仿宋_GB2312"/>
          <w:color w:val="404040"/>
          <w:kern w:val="0"/>
          <w:sz w:val="32"/>
          <w:szCs w:val="32"/>
          <w:lang w:val="en-US" w:eastAsia="zh-CN" w:bidi="ar"/>
        </w:rPr>
      </w:pPr>
      <w:r>
        <w:rPr>
          <w:rFonts w:hint="eastAsia" w:ascii="仿宋_GB2312" w:hAnsi="仿宋_GB2312" w:eastAsia="仿宋_GB2312" w:cs="仿宋_GB2312"/>
          <w:color w:val="404040"/>
          <w:kern w:val="0"/>
          <w:sz w:val="32"/>
          <w:szCs w:val="32"/>
          <w:lang w:val="en-US" w:eastAsia="zh-CN" w:bidi="ar"/>
        </w:rPr>
        <w:t>无</w:t>
      </w:r>
    </w:p>
    <w:p w14:paraId="7E0E6823">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0" w:firstLineChars="200"/>
        <w:jc w:val="left"/>
        <w:textAlignment w:val="auto"/>
        <w:outlineLvl w:val="2"/>
        <w:rPr>
          <w:rFonts w:hint="eastAsia" w:ascii="黑体" w:hAnsi="黑体" w:eastAsia="黑体" w:cs="黑体"/>
          <w:b w:val="0"/>
          <w:bCs w:val="0"/>
          <w:color w:val="404040"/>
          <w:kern w:val="0"/>
          <w:sz w:val="32"/>
          <w:szCs w:val="32"/>
          <w:lang w:val="en-US" w:eastAsia="zh-CN"/>
        </w:rPr>
      </w:pPr>
      <w:r>
        <w:rPr>
          <w:rFonts w:hint="eastAsia" w:ascii="黑体" w:hAnsi="黑体" w:eastAsia="黑体" w:cs="黑体"/>
          <w:b w:val="0"/>
          <w:bCs w:val="0"/>
          <w:color w:val="404040"/>
          <w:kern w:val="0"/>
          <w:sz w:val="32"/>
          <w:szCs w:val="32"/>
          <w:lang w:val="en-US" w:eastAsia="zh-CN"/>
        </w:rPr>
        <w:t>六、 重大意见分歧的处理</w:t>
      </w:r>
    </w:p>
    <w:p w14:paraId="21618C04">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0" w:firstLineChars="200"/>
        <w:jc w:val="left"/>
        <w:textAlignment w:val="auto"/>
        <w:outlineLvl w:val="2"/>
        <w:rPr>
          <w:rFonts w:hint="eastAsia" w:ascii="仿宋_GB2312" w:hAnsi="仿宋_GB2312" w:eastAsia="仿宋_GB2312" w:cs="仿宋_GB2312"/>
          <w:b w:val="0"/>
          <w:bCs w:val="0"/>
          <w:color w:val="404040"/>
          <w:kern w:val="0"/>
          <w:sz w:val="32"/>
          <w:szCs w:val="32"/>
          <w:lang w:val="en-US" w:eastAsia="zh-CN"/>
        </w:rPr>
      </w:pPr>
      <w:r>
        <w:rPr>
          <w:rFonts w:hint="eastAsia" w:ascii="仿宋_GB2312" w:hAnsi="仿宋_GB2312" w:eastAsia="仿宋_GB2312" w:cs="仿宋_GB2312"/>
          <w:b w:val="0"/>
          <w:bCs w:val="0"/>
          <w:color w:val="404040"/>
          <w:kern w:val="0"/>
          <w:sz w:val="32"/>
          <w:szCs w:val="32"/>
          <w:lang w:val="en-US" w:eastAsia="zh-CN"/>
        </w:rPr>
        <w:t>无重大意见分歧</w:t>
      </w:r>
    </w:p>
    <w:p w14:paraId="7EB6E07C">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3" w:firstLineChars="200"/>
        <w:jc w:val="left"/>
        <w:textAlignment w:val="auto"/>
        <w:outlineLvl w:val="2"/>
        <w:rPr>
          <w:rFonts w:hint="eastAsia" w:ascii="黑体" w:hAnsi="黑体" w:eastAsia="黑体" w:cs="黑体"/>
          <w:b/>
          <w:bCs/>
          <w:color w:val="404040"/>
          <w:kern w:val="0"/>
          <w:sz w:val="32"/>
          <w:szCs w:val="32"/>
        </w:rPr>
      </w:pPr>
      <w:r>
        <w:rPr>
          <w:rFonts w:hint="eastAsia" w:ascii="黑体" w:hAnsi="黑体" w:eastAsia="黑体" w:cs="黑体"/>
          <w:b/>
          <w:bCs/>
          <w:color w:val="404040"/>
          <w:kern w:val="0"/>
          <w:sz w:val="32"/>
          <w:szCs w:val="32"/>
          <w:lang w:val="en-US" w:eastAsia="zh-CN"/>
        </w:rPr>
        <w:t>七</w:t>
      </w:r>
      <w:r>
        <w:rPr>
          <w:rFonts w:hint="eastAsia" w:ascii="黑体" w:hAnsi="黑体" w:eastAsia="黑体" w:cs="黑体"/>
          <w:b/>
          <w:bCs/>
          <w:color w:val="404040"/>
          <w:kern w:val="0"/>
          <w:sz w:val="32"/>
          <w:szCs w:val="32"/>
        </w:rPr>
        <w:t>、 与</w:t>
      </w:r>
      <w:r>
        <w:rPr>
          <w:rFonts w:hint="eastAsia" w:ascii="黑体" w:hAnsi="黑体" w:eastAsia="黑体" w:cs="黑体"/>
          <w:b/>
          <w:bCs/>
          <w:color w:val="404040"/>
          <w:kern w:val="0"/>
          <w:sz w:val="32"/>
          <w:szCs w:val="32"/>
          <w:lang w:val="en-US" w:eastAsia="zh-CN"/>
        </w:rPr>
        <w:t>国家</w:t>
      </w:r>
      <w:r>
        <w:rPr>
          <w:rFonts w:hint="eastAsia" w:ascii="黑体" w:hAnsi="黑体" w:eastAsia="黑体" w:cs="黑体"/>
          <w:b/>
          <w:bCs/>
          <w:color w:val="404040"/>
          <w:kern w:val="0"/>
          <w:sz w:val="32"/>
          <w:szCs w:val="32"/>
        </w:rPr>
        <w:t>法律法规和</w:t>
      </w:r>
      <w:r>
        <w:rPr>
          <w:rFonts w:hint="eastAsia" w:ascii="黑体" w:hAnsi="黑体" w:eastAsia="黑体" w:cs="黑体"/>
          <w:b/>
          <w:bCs/>
          <w:color w:val="404040"/>
          <w:kern w:val="0"/>
          <w:sz w:val="32"/>
          <w:szCs w:val="32"/>
          <w:lang w:val="en-US" w:eastAsia="zh-CN"/>
        </w:rPr>
        <w:t>强制性</w:t>
      </w:r>
      <w:r>
        <w:rPr>
          <w:rFonts w:hint="eastAsia" w:ascii="黑体" w:hAnsi="黑体" w:eastAsia="黑体" w:cs="黑体"/>
          <w:b/>
          <w:bCs/>
          <w:color w:val="404040"/>
          <w:kern w:val="0"/>
          <w:sz w:val="32"/>
          <w:szCs w:val="32"/>
        </w:rPr>
        <w:t>标准的关系</w:t>
      </w:r>
    </w:p>
    <w:p w14:paraId="1DA24B8B">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本标准严格遵循《中华人民共和国标准化法》、《中华人民共和国渔业法》等国家法律法规。</w:t>
      </w:r>
      <w:r>
        <w:rPr>
          <w:rFonts w:hint="eastAsia" w:ascii="仿宋_GB2312" w:hAnsi="仿宋_GB2312" w:eastAsia="仿宋_GB2312" w:cs="仿宋_GB2312"/>
          <w:color w:val="404040"/>
          <w:kern w:val="0"/>
          <w:sz w:val="32"/>
          <w:szCs w:val="32"/>
          <w:lang w:val="en-US" w:eastAsia="zh-CN"/>
        </w:rPr>
        <w:t>在</w:t>
      </w:r>
      <w:r>
        <w:rPr>
          <w:rFonts w:hint="eastAsia" w:ascii="仿宋_GB2312" w:hAnsi="仿宋_GB2312" w:eastAsia="仿宋_GB2312" w:cs="仿宋_GB2312"/>
          <w:color w:val="404040"/>
          <w:kern w:val="0"/>
          <w:sz w:val="32"/>
          <w:szCs w:val="32"/>
        </w:rPr>
        <w:t>国家、行业标准基础上，结合南阳市长丰鲢繁殖养殖的具体实践经验和地域特点制定的操作层面的地方技术规范，是对上位标准的细化和补充，不存在冲突。</w:t>
      </w:r>
    </w:p>
    <w:p w14:paraId="46D9C23C">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GB 11607 渔业水质标准</w:t>
      </w:r>
    </w:p>
    <w:p w14:paraId="7191E1BE">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GB/T 11777 鲢鱼苗、鱼种</w:t>
      </w:r>
    </w:p>
    <w:p w14:paraId="42DDB49D">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GB/T 17717 鲢</w:t>
      </w:r>
    </w:p>
    <w:p w14:paraId="1A74BA47">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NY/T 5361 无公害农产品淡水养殖产地环境条件</w:t>
      </w:r>
    </w:p>
    <w:p w14:paraId="7171548D">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NY 5051 无公害食品淡水养殖用水水质</w:t>
      </w:r>
    </w:p>
    <w:p w14:paraId="6BA26AB3">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NY 5071 无公害食品渔用药物使用准则</w:t>
      </w:r>
    </w:p>
    <w:p w14:paraId="5FAD35EA">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SC/T 6048 淡水池塘养殖场建设</w:t>
      </w:r>
    </w:p>
    <w:p w14:paraId="3BF443D7">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SC/T 0004-2006 水产养殖质量安全管理规范</w:t>
      </w:r>
    </w:p>
    <w:p w14:paraId="60352E9D">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SC/T 1015 鲢鱼 鳙鱼催产技术要求</w:t>
      </w:r>
    </w:p>
    <w:p w14:paraId="17D6F261">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SC/T 1008-2012 淡水鱼苗种池塘常规培育技术规范</w:t>
      </w:r>
    </w:p>
    <w:p w14:paraId="26CF0B66">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SC/T 1075-2006 鱼苗 、鱼种运输通用技术要求</w:t>
      </w:r>
    </w:p>
    <w:p w14:paraId="24594E1A">
      <w:pPr>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color w:val="404040"/>
          <w:kern w:val="0"/>
          <w:sz w:val="32"/>
          <w:szCs w:val="32"/>
        </w:rPr>
      </w:pPr>
      <w:r>
        <w:rPr>
          <w:rFonts w:hint="eastAsia" w:ascii="仿宋_GB2312" w:hAnsi="仿宋_GB2312" w:eastAsia="仿宋_GB2312" w:cs="仿宋_GB2312"/>
          <w:color w:val="404040"/>
          <w:kern w:val="0"/>
          <w:sz w:val="32"/>
          <w:szCs w:val="32"/>
        </w:rPr>
        <w:t>DB41/2575-2024 水产养殖尾水污染物排放标准</w:t>
      </w:r>
    </w:p>
    <w:p w14:paraId="1CB195BA">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3" w:firstLineChars="200"/>
        <w:jc w:val="left"/>
        <w:textAlignment w:val="auto"/>
        <w:outlineLvl w:val="2"/>
        <w:rPr>
          <w:rFonts w:hint="eastAsia" w:ascii="黑体" w:hAnsi="黑体" w:eastAsia="黑体" w:cs="黑体"/>
          <w:b/>
          <w:bCs/>
          <w:color w:val="404040"/>
          <w:kern w:val="0"/>
          <w:sz w:val="32"/>
          <w:szCs w:val="32"/>
        </w:rPr>
      </w:pPr>
      <w:r>
        <w:rPr>
          <w:rFonts w:hint="eastAsia" w:ascii="黑体" w:hAnsi="黑体" w:eastAsia="黑体" w:cs="黑体"/>
          <w:b/>
          <w:bCs/>
          <w:color w:val="404040"/>
          <w:kern w:val="0"/>
          <w:sz w:val="32"/>
          <w:szCs w:val="32"/>
          <w:lang w:val="en-US" w:eastAsia="zh-CN"/>
        </w:rPr>
        <w:t>八</w:t>
      </w:r>
      <w:r>
        <w:rPr>
          <w:rFonts w:hint="eastAsia" w:ascii="黑体" w:hAnsi="黑体" w:eastAsia="黑体" w:cs="黑体"/>
          <w:b/>
          <w:bCs/>
          <w:color w:val="404040"/>
          <w:kern w:val="0"/>
          <w:sz w:val="32"/>
          <w:szCs w:val="32"/>
        </w:rPr>
        <w:t>、 标准实施建议</w:t>
      </w:r>
    </w:p>
    <w:p w14:paraId="21F777A6">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0" w:firstLineChars="200"/>
        <w:jc w:val="left"/>
        <w:textAlignment w:val="auto"/>
        <w:outlineLvl w:val="2"/>
        <w:rPr>
          <w:rFonts w:hint="eastAsia" w:ascii="仿宋_GB2312" w:hAnsi="仿宋_GB2312" w:eastAsia="仿宋_GB2312" w:cs="仿宋_GB2312"/>
          <w:b w:val="0"/>
          <w:bCs w:val="0"/>
          <w:color w:val="404040"/>
          <w:kern w:val="0"/>
          <w:sz w:val="32"/>
          <w:szCs w:val="32"/>
          <w:lang w:val="en-US" w:eastAsia="zh-CN"/>
        </w:rPr>
      </w:pPr>
      <w:r>
        <w:rPr>
          <w:rFonts w:hint="eastAsia" w:ascii="仿宋_GB2312" w:hAnsi="仿宋_GB2312" w:eastAsia="仿宋_GB2312" w:cs="仿宋_GB2312"/>
          <w:b w:val="0"/>
          <w:bCs w:val="0"/>
          <w:color w:val="404040"/>
          <w:kern w:val="0"/>
          <w:sz w:val="32"/>
          <w:szCs w:val="32"/>
          <w:lang w:val="en-US" w:eastAsia="zh-CN"/>
        </w:rPr>
        <w:t>本标准规定了长丰鲢繁殖养殖的关键技术模式和操作规范，对生产上具有重大的指导作用，不涉及有关国家安全、保护人体健康和人身财产安全、环境要求等有关强制性地方标准或强制性条文等的八项要求之一，因此建议将其作为推荐性标准颁布实施。</w:t>
      </w:r>
      <w:bookmarkStart w:id="0" w:name="_GoBack"/>
      <w:bookmarkEnd w:id="0"/>
    </w:p>
    <w:p w14:paraId="6AAE1845">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640" w:firstLineChars="200"/>
        <w:jc w:val="left"/>
        <w:textAlignment w:val="auto"/>
        <w:rPr>
          <w:rFonts w:hint="eastAsia" w:ascii="仿宋_GB2312" w:hAnsi="仿宋_GB2312" w:eastAsia="仿宋_GB2312" w:cs="仿宋_GB2312"/>
          <w:b w:val="0"/>
          <w:bCs w:val="0"/>
          <w:color w:val="404040"/>
          <w:kern w:val="0"/>
          <w:sz w:val="32"/>
          <w:szCs w:val="32"/>
          <w:lang w:val="en-US" w:eastAsia="zh-CN"/>
        </w:rPr>
      </w:pPr>
    </w:p>
    <w:p w14:paraId="404C22DE">
      <w:pPr>
        <w:keepNext w:val="0"/>
        <w:keepLines w:val="0"/>
        <w:pageBreakBefore w:val="0"/>
        <w:widowControl/>
        <w:shd w:val="clear" w:color="auto" w:fill="FFFFFF"/>
        <w:kinsoku/>
        <w:wordWrap/>
        <w:overflowPunct/>
        <w:topLinePunct w:val="0"/>
        <w:bidi w:val="0"/>
        <w:adjustRightInd/>
        <w:snapToGrid/>
        <w:spacing w:beforeAutospacing="0" w:afterAutospacing="0"/>
        <w:ind w:left="0" w:leftChars="0" w:firstLine="1600" w:firstLineChars="5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《长丰鲢繁殖养殖技术规范》标准起草小组</w:t>
      </w:r>
    </w:p>
    <w:p w14:paraId="40E88916">
      <w:pPr>
        <w:keepNext w:val="0"/>
        <w:keepLines w:val="0"/>
        <w:pageBreakBefore w:val="0"/>
        <w:kinsoku/>
        <w:wordWrap/>
        <w:overflowPunct/>
        <w:topLinePunct w:val="0"/>
        <w:bidi w:val="0"/>
        <w:adjustRightInd/>
        <w:snapToGrid/>
        <w:spacing w:beforeAutospacing="0" w:afterAutospacing="0"/>
        <w:ind w:firstLine="5120" w:firstLineChars="16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2025年6月6日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汉仪书宋二简">
    <w:panose1 w:val="02010600000101010101"/>
    <w:charset w:val="86"/>
    <w:family w:val="auto"/>
    <w:pitch w:val="default"/>
    <w:sig w:usb0="00000001" w:usb1="080E0800" w:usb2="00000002" w:usb3="00000000" w:csb0="00040000" w:csb1="00000000"/>
  </w:font>
  <w:font w:name="汉仪中黑简">
    <w:panose1 w:val="02010600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2BDA79"/>
    <w:multiLevelType w:val="singleLevel"/>
    <w:tmpl w:val="C22BDA79"/>
    <w:lvl w:ilvl="0" w:tentative="0">
      <w:start w:val="3"/>
      <w:numFmt w:val="chineseCounting"/>
      <w:suff w:val="nothing"/>
      <w:lvlText w:val="（%1）"/>
      <w:lvlJc w:val="left"/>
      <w:rPr>
        <w:rFonts w:hint="eastAsia"/>
      </w:rPr>
    </w:lvl>
  </w:abstractNum>
  <w:abstractNum w:abstractNumId="1">
    <w:nsid w:val="C471DDFA"/>
    <w:multiLevelType w:val="singleLevel"/>
    <w:tmpl w:val="C471DDFA"/>
    <w:lvl w:ilvl="0" w:tentative="0">
      <w:start w:val="3"/>
      <w:numFmt w:val="chineseCounting"/>
      <w:suff w:val="nothing"/>
      <w:lvlText w:val="%1、"/>
      <w:lvlJc w:val="left"/>
      <w:rPr>
        <w:rFonts w:hint="eastAsia"/>
      </w:rPr>
    </w:lvl>
  </w:abstractNum>
  <w:abstractNum w:abstractNumId="2">
    <w:nsid w:val="5F9BB013"/>
    <w:multiLevelType w:val="singleLevel"/>
    <w:tmpl w:val="5F9BB013"/>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6C8"/>
    <w:rsid w:val="000C76C8"/>
    <w:rsid w:val="006B77E0"/>
    <w:rsid w:val="00B44B2D"/>
    <w:rsid w:val="01F11CD4"/>
    <w:rsid w:val="026C52E3"/>
    <w:rsid w:val="070F31FD"/>
    <w:rsid w:val="07833FB5"/>
    <w:rsid w:val="083904A0"/>
    <w:rsid w:val="0D4728B9"/>
    <w:rsid w:val="118E286E"/>
    <w:rsid w:val="121B2113"/>
    <w:rsid w:val="13107ACF"/>
    <w:rsid w:val="17504430"/>
    <w:rsid w:val="19DA19B7"/>
    <w:rsid w:val="1A8E7D82"/>
    <w:rsid w:val="1D306ECF"/>
    <w:rsid w:val="1D725739"/>
    <w:rsid w:val="1EA3252A"/>
    <w:rsid w:val="1EB3600A"/>
    <w:rsid w:val="1F927325"/>
    <w:rsid w:val="22DE771E"/>
    <w:rsid w:val="26FB00A2"/>
    <w:rsid w:val="2BB807BB"/>
    <w:rsid w:val="32480254"/>
    <w:rsid w:val="34B60371"/>
    <w:rsid w:val="35D67A61"/>
    <w:rsid w:val="362E38F2"/>
    <w:rsid w:val="36317442"/>
    <w:rsid w:val="379621BB"/>
    <w:rsid w:val="3A4060DF"/>
    <w:rsid w:val="3E755A36"/>
    <w:rsid w:val="3F7573C6"/>
    <w:rsid w:val="3FC17E14"/>
    <w:rsid w:val="41CE317A"/>
    <w:rsid w:val="43C70F61"/>
    <w:rsid w:val="44F12B71"/>
    <w:rsid w:val="459551E8"/>
    <w:rsid w:val="483E0703"/>
    <w:rsid w:val="486C49B0"/>
    <w:rsid w:val="49327A71"/>
    <w:rsid w:val="493A3982"/>
    <w:rsid w:val="4A9D0511"/>
    <w:rsid w:val="4AED5F14"/>
    <w:rsid w:val="4B420843"/>
    <w:rsid w:val="4EF066C1"/>
    <w:rsid w:val="5074623C"/>
    <w:rsid w:val="53316F22"/>
    <w:rsid w:val="53BD30A4"/>
    <w:rsid w:val="53C40CEE"/>
    <w:rsid w:val="5853143B"/>
    <w:rsid w:val="5AAF0A35"/>
    <w:rsid w:val="5B1142D2"/>
    <w:rsid w:val="5D236D75"/>
    <w:rsid w:val="5F485E78"/>
    <w:rsid w:val="625A4806"/>
    <w:rsid w:val="64F056FD"/>
    <w:rsid w:val="6581602A"/>
    <w:rsid w:val="6D2E2746"/>
    <w:rsid w:val="6F626667"/>
    <w:rsid w:val="712974D9"/>
    <w:rsid w:val="732E6B82"/>
    <w:rsid w:val="73402AB6"/>
    <w:rsid w:val="737A5923"/>
    <w:rsid w:val="758F2F37"/>
    <w:rsid w:val="76D31F1A"/>
    <w:rsid w:val="78C0202A"/>
    <w:rsid w:val="794B223C"/>
    <w:rsid w:val="79A04399"/>
    <w:rsid w:val="7A3E6CDE"/>
    <w:rsid w:val="7A7A05ED"/>
    <w:rsid w:val="7A7C4677"/>
    <w:rsid w:val="7B8C5C28"/>
    <w:rsid w:val="7E53749D"/>
    <w:rsid w:val="7F860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customStyle="1" w:styleId="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3093</Words>
  <Characters>3287</Characters>
  <Lines>44</Lines>
  <Paragraphs>12</Paragraphs>
  <TotalTime>8</TotalTime>
  <ScaleCrop>false</ScaleCrop>
  <LinksUpToDate>false</LinksUpToDate>
  <CharactersWithSpaces>3365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2025-06-03T09:51:00Z</dcterms:created>
  <dc:creator>Administrator</dc:creator>
  <cp:lastModifiedBy>李鑫</cp:lastModifiedBy>
  <dcterms:modified xsi:type="dcterms:W3CDTF">2025-06-18T01:58:08Z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eyJoZGlkIjoiZTBjNGY3MTg2ZWQyZDAyOGU0MDUxMDE2NjNkNDQzZDQiLCJ1c2VySWQiOiIyNTkwOTMyMTUifQ==</vt:lpwstr>
  </property>
  <property fmtid="{D5CDD505-2E9C-101B-9397-08002B2CF9AE}" pid="3" name="KSOProductBuildVer">
    <vt:lpwstr>2052-12.1.0.21541</vt:lpwstr>
  </property>
  <property fmtid="{D5CDD505-2E9C-101B-9397-08002B2CF9AE}" pid="4" name="ICV">
    <vt:lpwstr>4C93CB3F71B543FC811EA1C175783040_13</vt:lpwstr>
  </property>
</Properties>
</file>