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A493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67AC09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3C4C5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110D3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F7A55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88E959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9CE779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31A7A31">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4113</w:t>
            </w:r>
            <w:r>
              <w:fldChar w:fldCharType="end"/>
            </w:r>
            <w:bookmarkEnd w:id="3"/>
          </w:p>
        </w:tc>
      </w:tr>
    </w:tbl>
    <w:p w14:paraId="30CE311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13D643D">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4113/T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5B3B7D28">
      <w:pPr>
        <w:pStyle w:val="196"/>
        <w:rPr>
          <w:rFonts w:hAnsi="黑体"/>
        </w:rPr>
      </w:pPr>
    </w:p>
    <w:p w14:paraId="143D514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F630FC5">
      <w:pPr>
        <w:pStyle w:val="50"/>
        <w:framePr w:w="9639" w:h="6976" w:hRule="exact" w:hSpace="0" w:vSpace="0" w:wrap="around" w:hAnchor="page" w:y="6408"/>
        <w:jc w:val="center"/>
        <w:rPr>
          <w:rFonts w:ascii="黑体" w:hAnsi="黑体" w:eastAsia="黑体"/>
          <w:b w:val="0"/>
          <w:bCs w:val="0"/>
          <w:w w:val="100"/>
        </w:rPr>
      </w:pPr>
    </w:p>
    <w:p w14:paraId="6660B448">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砂姜黑土改良技术规程</w:t>
      </w:r>
      <w:r>
        <w:fldChar w:fldCharType="end"/>
      </w:r>
      <w:bookmarkEnd w:id="8"/>
    </w:p>
    <w:p w14:paraId="26F12572">
      <w:pPr>
        <w:framePr w:w="9639" w:h="6974" w:hRule="exact" w:wrap="around" w:vAnchor="page" w:hAnchor="page" w:x="1419" w:y="6408" w:anchorLock="1"/>
        <w:ind w:left="-1418"/>
      </w:pPr>
    </w:p>
    <w:p w14:paraId="0C36407D">
      <w:pPr>
        <w:pStyle w:val="125"/>
        <w:framePr w:w="9639" w:h="6974" w:hRule="exact" w:wrap="around" w:vAnchor="page" w:hAnchor="page" w:x="1419" w:y="6408" w:anchorLock="1"/>
        <w:textAlignment w:val="bottom"/>
        <w:rPr>
          <w:rFonts w:eastAsia="黑体"/>
          <w:szCs w:val="28"/>
        </w:rPr>
      </w:pPr>
    </w:p>
    <w:p w14:paraId="1854A61F">
      <w:pPr>
        <w:framePr w:w="9639" w:h="6974" w:hRule="exact" w:wrap="around" w:vAnchor="page" w:hAnchor="page" w:x="1419" w:y="6408" w:anchorLock="1"/>
        <w:spacing w:line="760" w:lineRule="exact"/>
        <w:ind w:left="-1418"/>
      </w:pPr>
    </w:p>
    <w:p w14:paraId="0275BB46">
      <w:pPr>
        <w:pStyle w:val="125"/>
        <w:framePr w:w="9639" w:h="6974" w:hRule="exact" w:wrap="around" w:vAnchor="page" w:hAnchor="page" w:x="1419" w:y="6408" w:anchorLock="1"/>
        <w:textAlignment w:val="bottom"/>
        <w:rPr>
          <w:rFonts w:eastAsia="黑体"/>
          <w:szCs w:val="28"/>
        </w:rPr>
      </w:pPr>
    </w:p>
    <w:p w14:paraId="799E0EE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3FAE5650">
      <w:pPr>
        <w:pStyle w:val="125"/>
        <w:framePr w:w="9639" w:h="6974" w:hRule="exact" w:wrap="around" w:vAnchor="page" w:hAnchor="page" w:x="1419" w:y="6408" w:anchorLock="1"/>
        <w:spacing w:before="180" w:line="240" w:lineRule="atLeast"/>
        <w:textAlignment w:val="bottom"/>
        <w:rPr>
          <w:sz w:val="21"/>
          <w:szCs w:val="28"/>
        </w:rPr>
      </w:pPr>
    </w:p>
    <w:p w14:paraId="1E3213DB">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02307568">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1814B6C7">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6DB4B946">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934A020">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88ADAF5">
      <w:pPr>
        <w:pStyle w:val="89"/>
        <w:spacing w:after="468"/>
      </w:pPr>
      <w:bookmarkStart w:id="17" w:name="BookMark2"/>
      <w:r>
        <w:rPr>
          <w:spacing w:val="320"/>
        </w:rPr>
        <w:t>前</w:t>
      </w:r>
      <w:r>
        <w:t>言</w:t>
      </w:r>
    </w:p>
    <w:p w14:paraId="42CA8998">
      <w:pPr>
        <w:pStyle w:val="56"/>
        <w:ind w:firstLine="420"/>
        <w:rPr>
          <w:rFonts w:hint="eastAsia"/>
        </w:rPr>
      </w:pPr>
      <w:r>
        <w:rPr>
          <w:rFonts w:hint="eastAsia"/>
        </w:rPr>
        <w:t>本文件按照GB/T 1.1—2020《标准化工作导则  第1部分：标准化文件的结构和起草规则》的规定起草。</w:t>
      </w:r>
    </w:p>
    <w:p w14:paraId="35593513">
      <w:pPr>
        <w:pStyle w:val="56"/>
        <w:ind w:firstLine="420"/>
      </w:pPr>
      <w:r>
        <w:rPr>
          <w:rFonts w:hint="eastAsia"/>
        </w:rPr>
        <w:t>本文件由南阳市农业农村局提出并归口。</w:t>
      </w:r>
    </w:p>
    <w:p w14:paraId="1EB9E972">
      <w:pPr>
        <w:pStyle w:val="56"/>
        <w:ind w:firstLine="420"/>
      </w:pPr>
      <w:r>
        <w:rPr>
          <w:rFonts w:hint="eastAsia"/>
        </w:rPr>
        <w:t>本文件起草单位：邓州市农业技术推广中心、南阳市农业技术推广中心、中农发南阳农业科技有限公司。</w:t>
      </w:r>
    </w:p>
    <w:p w14:paraId="1CDBEBDE">
      <w:pPr>
        <w:pStyle w:val="56"/>
        <w:ind w:firstLine="420"/>
      </w:pPr>
      <w:r>
        <w:rPr>
          <w:rFonts w:hint="eastAsia"/>
        </w:rPr>
        <w:t>本文件主要起草人：冀洪策、高敬伟、王颖、李明朝、杨璞、孙立黎、杨荣庆、刘飞、陈英侠、赵海萍、杨晋、方盛田、郝迎春、陈诗琪、史科伟、陆景倩、王晓帅、徐秋虎、王义凡。</w:t>
      </w:r>
    </w:p>
    <w:p w14:paraId="3E44257D">
      <w:pPr>
        <w:pStyle w:val="56"/>
        <w:ind w:firstLine="420"/>
      </w:pPr>
    </w:p>
    <w:p w14:paraId="7EA44883">
      <w:pPr>
        <w:pStyle w:val="56"/>
        <w:ind w:firstLine="420"/>
      </w:pPr>
    </w:p>
    <w:p w14:paraId="6FF931D5">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7"/>
    <w:p w14:paraId="02EFC279">
      <w:pPr>
        <w:spacing w:line="20" w:lineRule="exact"/>
        <w:jc w:val="center"/>
        <w:rPr>
          <w:rFonts w:ascii="黑体" w:hAnsi="黑体" w:eastAsia="黑体"/>
          <w:sz w:val="32"/>
          <w:szCs w:val="32"/>
        </w:rPr>
      </w:pPr>
      <w:bookmarkStart w:id="18" w:name="BookMark4"/>
    </w:p>
    <w:p w14:paraId="43043D13">
      <w:pPr>
        <w:spacing w:line="20" w:lineRule="exact"/>
        <w:jc w:val="center"/>
        <w:rPr>
          <w:rFonts w:ascii="黑体" w:hAnsi="黑体" w:eastAsia="黑体"/>
          <w:sz w:val="32"/>
          <w:szCs w:val="32"/>
        </w:rPr>
      </w:pPr>
    </w:p>
    <w:sdt>
      <w:sdtPr>
        <w:tag w:val="NEW_STAND_NAME"/>
        <w:id w:val="595910757"/>
        <w:lock w:val="sdtLocked"/>
        <w:placeholder>
          <w:docPart w:val="48207E99AF564D79AD432858DCE58CFE"/>
        </w:placeholder>
      </w:sdtPr>
      <w:sdtContent>
        <w:p w14:paraId="14A7E6B0">
          <w:pPr>
            <w:pStyle w:val="177"/>
            <w:spacing w:before="312" w:beforeLines="100" w:after="686" w:afterLines="220"/>
          </w:pPr>
          <w:bookmarkStart w:id="19" w:name="NEW_STAND_NAME"/>
          <w:r>
            <w:rPr>
              <w:rFonts w:hint="eastAsia"/>
            </w:rPr>
            <w:t>砂姜黑土改良技术规程</w:t>
          </w:r>
        </w:p>
      </w:sdtContent>
    </w:sdt>
    <w:bookmarkEnd w:id="19"/>
    <w:p w14:paraId="08499DD2">
      <w:pPr>
        <w:pStyle w:val="104"/>
        <w:spacing w:before="312" w:after="312"/>
        <w:ind w:left="0"/>
      </w:pPr>
      <w:bookmarkStart w:id="20" w:name="_Toc26718930"/>
      <w:bookmarkStart w:id="21" w:name="_Toc17233333"/>
      <w:bookmarkStart w:id="22" w:name="_Toc26648465"/>
      <w:bookmarkStart w:id="23" w:name="_Toc17233325"/>
      <w:bookmarkStart w:id="24" w:name="_Toc26986530"/>
      <w:bookmarkStart w:id="25" w:name="_Toc24884211"/>
      <w:bookmarkStart w:id="26" w:name="_Toc24884218"/>
      <w:bookmarkStart w:id="27" w:name="_Toc26986771"/>
      <w:bookmarkStart w:id="28" w:name="_Toc97191423"/>
      <w:r>
        <w:rPr>
          <w:rFonts w:hint="eastAsia"/>
        </w:rPr>
        <w:t>范围</w:t>
      </w:r>
      <w:bookmarkEnd w:id="20"/>
      <w:bookmarkEnd w:id="21"/>
      <w:bookmarkEnd w:id="22"/>
      <w:bookmarkEnd w:id="23"/>
      <w:bookmarkEnd w:id="24"/>
      <w:bookmarkEnd w:id="25"/>
      <w:bookmarkEnd w:id="26"/>
      <w:bookmarkEnd w:id="27"/>
      <w:bookmarkEnd w:id="28"/>
    </w:p>
    <w:p w14:paraId="5D6898B0">
      <w:pPr>
        <w:pStyle w:val="56"/>
        <w:ind w:firstLine="420"/>
      </w:pPr>
      <w:bookmarkStart w:id="29" w:name="_Toc17233326"/>
      <w:bookmarkStart w:id="30" w:name="_Toc24884219"/>
      <w:bookmarkStart w:id="31" w:name="_Toc26648466"/>
      <w:bookmarkStart w:id="32" w:name="_Toc17233334"/>
      <w:bookmarkStart w:id="33" w:name="_Toc24884212"/>
      <w:r>
        <w:rPr>
          <w:rFonts w:hint="eastAsia"/>
        </w:rPr>
        <w:t>本文件确立了南阳市砂姜黑土土壤改良技术的基本要求。并规定了士壤改良指标和改良技术措施。</w:t>
      </w:r>
    </w:p>
    <w:p w14:paraId="0B383764">
      <w:pPr>
        <w:pStyle w:val="56"/>
        <w:ind w:firstLine="420"/>
      </w:pPr>
      <w:r>
        <w:rPr>
          <w:rFonts w:hint="eastAsia"/>
        </w:rPr>
        <w:t>本文件适用于南阳砂姜黑土土壤类型区。</w:t>
      </w:r>
    </w:p>
    <w:p w14:paraId="06B1B05A">
      <w:pPr>
        <w:pStyle w:val="104"/>
        <w:spacing w:before="312" w:after="312"/>
        <w:ind w:left="0"/>
      </w:pPr>
      <w:bookmarkStart w:id="34" w:name="_Toc26718931"/>
      <w:bookmarkStart w:id="35" w:name="_Toc97191424"/>
      <w:bookmarkStart w:id="36" w:name="_Toc26986772"/>
      <w:bookmarkStart w:id="37" w:name="_Toc26986531"/>
      <w:r>
        <w:rPr>
          <w:rFonts w:hint="eastAsia"/>
        </w:rPr>
        <w:t>规范性引用文件</w:t>
      </w:r>
      <w:bookmarkEnd w:id="29"/>
      <w:bookmarkEnd w:id="30"/>
      <w:bookmarkEnd w:id="31"/>
      <w:bookmarkEnd w:id="32"/>
      <w:bookmarkEnd w:id="33"/>
      <w:bookmarkEnd w:id="34"/>
      <w:bookmarkEnd w:id="35"/>
      <w:bookmarkEnd w:id="36"/>
      <w:bookmarkEnd w:id="37"/>
      <w:bookmarkStart w:id="41" w:name="_GoBack"/>
      <w:bookmarkEnd w:id="41"/>
    </w:p>
    <w:sdt>
      <w:sdtPr>
        <w:rPr>
          <w:rFonts w:hint="eastAsia"/>
        </w:rPr>
        <w:id w:val="715848253"/>
        <w:placeholder>
          <w:docPart w:val="8D02658FCB1244B591B5A83527E30F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9C728E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EDF8DF6">
      <w:pPr>
        <w:pStyle w:val="56"/>
        <w:ind w:firstLine="420"/>
      </w:pPr>
      <w:r>
        <w:rPr>
          <w:rFonts w:hint="eastAsia"/>
        </w:rPr>
        <w:t>GBT 6274-2016 肥料和土壤调理剂 术语</w:t>
      </w:r>
    </w:p>
    <w:p w14:paraId="7155E7D0">
      <w:pPr>
        <w:pStyle w:val="56"/>
        <w:ind w:firstLine="420"/>
      </w:pPr>
      <w:r>
        <w:rPr>
          <w:rFonts w:hint="eastAsia"/>
        </w:rPr>
        <w:t>NY/T1121.4 土壤检测第4部分:土壤容重的测定</w:t>
      </w:r>
    </w:p>
    <w:p w14:paraId="07AB016A">
      <w:pPr>
        <w:pStyle w:val="56"/>
        <w:ind w:firstLine="420"/>
      </w:pPr>
      <w:r>
        <w:rPr>
          <w:rFonts w:hint="eastAsia"/>
        </w:rPr>
        <w:t>NY/T1121.6 土壤检测第6部分:土壤有机质的测定</w:t>
      </w:r>
    </w:p>
    <w:p w14:paraId="4661F3E2">
      <w:pPr>
        <w:pStyle w:val="56"/>
        <w:ind w:firstLine="420"/>
      </w:pPr>
      <w:r>
        <w:rPr>
          <w:rFonts w:hint="eastAsia"/>
        </w:rPr>
        <w:t>NY/T53 土壤全氮测定法(半微量开氏法)</w:t>
      </w:r>
    </w:p>
    <w:p w14:paraId="36D5FDAB">
      <w:pPr>
        <w:pStyle w:val="56"/>
        <w:ind w:firstLine="420"/>
      </w:pPr>
      <w:r>
        <w:rPr>
          <w:rFonts w:hint="eastAsia"/>
        </w:rPr>
        <w:t>NY/T889 土壤速效钾含量的测定</w:t>
      </w:r>
    </w:p>
    <w:p w14:paraId="4A71576C">
      <w:pPr>
        <w:pStyle w:val="56"/>
        <w:ind w:firstLine="420"/>
      </w:pPr>
      <w:r>
        <w:rPr>
          <w:rFonts w:hint="eastAsia"/>
        </w:rPr>
        <w:t>NY/T1121.25土壤检测第25部分:土壤有效磷的测定连续流动分析仪法</w:t>
      </w:r>
    </w:p>
    <w:p w14:paraId="187A5A87">
      <w:pPr>
        <w:pStyle w:val="56"/>
        <w:ind w:firstLine="420"/>
      </w:pPr>
      <w:r>
        <w:rPr>
          <w:rFonts w:hint="eastAsia"/>
        </w:rPr>
        <w:t>NY/T1121.2土壤检测第2部分:土壤pH的测定</w:t>
      </w:r>
    </w:p>
    <w:p w14:paraId="4731E82A">
      <w:pPr>
        <w:pStyle w:val="104"/>
        <w:spacing w:before="312" w:after="312"/>
        <w:ind w:left="0"/>
        <w:rPr>
          <w:szCs w:val="21"/>
        </w:rPr>
      </w:pPr>
      <w:bookmarkStart w:id="38" w:name="_Toc97191425"/>
      <w:r>
        <w:rPr>
          <w:rFonts w:hint="eastAsia"/>
          <w:szCs w:val="21"/>
        </w:rPr>
        <w:t>术语和定义</w:t>
      </w:r>
      <w:bookmarkEnd w:id="38"/>
    </w:p>
    <w:sdt>
      <w:sdtPr>
        <w:id w:val="-1909835108"/>
        <w:placeholder>
          <w:docPart w:val="6E8A5678FB2D44C884636A50CF278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6F9A1CB">
          <w:pPr>
            <w:pStyle w:val="56"/>
            <w:ind w:firstLine="420"/>
          </w:pPr>
          <w:bookmarkStart w:id="39" w:name="_Toc26986532"/>
          <w:bookmarkEnd w:id="39"/>
          <w:r>
            <w:t>下列术语和定义适用于本文件。</w:t>
          </w:r>
        </w:p>
      </w:sdtContent>
    </w:sdt>
    <w:bookmarkEnd w:id="18"/>
    <w:p w14:paraId="13E8F930">
      <w:pPr>
        <w:pStyle w:val="104"/>
        <w:numPr>
          <w:ilvl w:val="0"/>
          <w:numId w:val="0"/>
        </w:numPr>
        <w:spacing w:before="156" w:beforeLines="50" w:after="156" w:afterLines="50"/>
        <w:outlineLvl w:val="1"/>
        <w:rPr>
          <w:szCs w:val="21"/>
        </w:rPr>
      </w:pPr>
      <w:bookmarkStart w:id="40" w:name="BookMark8"/>
      <w:r>
        <w:rPr>
          <w:rFonts w:hint="eastAsia"/>
          <w:szCs w:val="21"/>
        </w:rPr>
        <w:t>3.1</w:t>
      </w:r>
      <w:r>
        <w:rPr>
          <w:szCs w:val="21"/>
        </w:rPr>
        <w:t xml:space="preserve">  </w:t>
      </w:r>
      <w:r>
        <w:rPr>
          <w:rFonts w:hint="eastAsia"/>
          <w:szCs w:val="21"/>
        </w:rPr>
        <w:t>砂姜黑土</w:t>
      </w:r>
    </w:p>
    <w:p w14:paraId="14A52E44">
      <w:pPr>
        <w:pStyle w:val="56"/>
        <w:ind w:firstLine="420"/>
      </w:pPr>
      <w:r>
        <w:t>在暖温带半湿润气候条件下，主</w:t>
      </w:r>
      <w:r>
        <w:rPr>
          <w:rFonts w:hint="eastAsia"/>
        </w:rPr>
        <w:t>要</w:t>
      </w:r>
      <w:r>
        <w:t>受地方性因素(地形、母质、地下水)及生物因素作用</w:t>
      </w:r>
      <w:r>
        <w:rPr>
          <w:rFonts w:hint="eastAsia"/>
        </w:rPr>
        <w:t>，</w:t>
      </w:r>
      <w:r>
        <w:t>发育于河湖相沉积物上经脱沼泽作用</w:t>
      </w:r>
      <w:r>
        <w:rPr>
          <w:rFonts w:hint="eastAsia"/>
        </w:rPr>
        <w:t>而</w:t>
      </w:r>
      <w:r>
        <w:t>形成的半水成</w:t>
      </w:r>
      <w:r>
        <w:rPr>
          <w:rFonts w:hint="eastAsia"/>
        </w:rPr>
        <w:t>土</w:t>
      </w:r>
      <w:r>
        <w:t>，其土壤</w:t>
      </w:r>
      <w:r>
        <w:rPr>
          <w:rFonts w:hint="eastAsia"/>
        </w:rPr>
        <w:t>剖</w:t>
      </w:r>
      <w:r>
        <w:t>面中具有“腐泥状</w:t>
      </w:r>
      <w:r>
        <w:rPr>
          <w:rFonts w:hint="eastAsia"/>
        </w:rPr>
        <w:t>黑土</w:t>
      </w:r>
      <w:r>
        <w:t>层”和“</w:t>
      </w:r>
      <w:r>
        <w:rPr>
          <w:rFonts w:hint="eastAsia"/>
        </w:rPr>
        <w:t>脱潜</w:t>
      </w:r>
      <w:r>
        <w:t>育砂姜层”两个发生</w:t>
      </w:r>
      <w:r>
        <w:rPr>
          <w:rFonts w:hint="eastAsia"/>
        </w:rPr>
        <w:t>层</w:t>
      </w:r>
      <w:r>
        <w:t>段。</w:t>
      </w:r>
    </w:p>
    <w:p w14:paraId="49F8AA70">
      <w:pPr>
        <w:pStyle w:val="104"/>
        <w:numPr>
          <w:ilvl w:val="0"/>
          <w:numId w:val="0"/>
        </w:numPr>
        <w:spacing w:before="156" w:beforeLines="50" w:after="156" w:afterLines="50"/>
        <w:outlineLvl w:val="1"/>
        <w:rPr>
          <w:szCs w:val="21"/>
        </w:rPr>
      </w:pPr>
      <w:r>
        <w:rPr>
          <w:rFonts w:hint="eastAsia"/>
          <w:szCs w:val="21"/>
        </w:rPr>
        <w:t>3.2</w:t>
      </w:r>
      <w:r>
        <w:rPr>
          <w:szCs w:val="21"/>
        </w:rPr>
        <w:t xml:space="preserve">  </w:t>
      </w:r>
      <w:r>
        <w:rPr>
          <w:rFonts w:hint="eastAsia"/>
          <w:szCs w:val="21"/>
        </w:rPr>
        <w:t>土壤改良</w:t>
      </w:r>
    </w:p>
    <w:p w14:paraId="1FEC9037">
      <w:pPr>
        <w:pStyle w:val="56"/>
        <w:ind w:firstLine="420"/>
      </w:pPr>
      <w:r>
        <w:t>运用土壤学、生物学、生态学等多学科的理论与技术，排除或防</w:t>
      </w:r>
      <w:r>
        <w:rPr>
          <w:rFonts w:hint="eastAsia"/>
        </w:rPr>
        <w:t>止</w:t>
      </w:r>
      <w:r>
        <w:t>影响农作物生育和引起土壤退化等不利因素，改善土壤性状，提高土壤肥力，为农作物创造良好土壤环境条件的一系列技术措施的统称。</w:t>
      </w:r>
    </w:p>
    <w:p w14:paraId="190DB962">
      <w:pPr>
        <w:pStyle w:val="104"/>
        <w:numPr>
          <w:ilvl w:val="0"/>
          <w:numId w:val="0"/>
        </w:numPr>
        <w:spacing w:before="312" w:after="312"/>
        <w:rPr>
          <w:szCs w:val="21"/>
        </w:rPr>
      </w:pPr>
      <w:r>
        <w:rPr>
          <w:rFonts w:hint="eastAsia"/>
          <w:szCs w:val="21"/>
        </w:rPr>
        <w:t xml:space="preserve">4 </w:t>
      </w:r>
      <w:r>
        <w:rPr>
          <w:szCs w:val="21"/>
        </w:rPr>
        <w:t xml:space="preserve"> </w:t>
      </w:r>
      <w:r>
        <w:rPr>
          <w:rFonts w:hint="eastAsia"/>
          <w:szCs w:val="21"/>
        </w:rPr>
        <w:t>土壤改良技术</w:t>
      </w:r>
    </w:p>
    <w:p w14:paraId="3E8DAB7C">
      <w:pPr>
        <w:pStyle w:val="104"/>
        <w:numPr>
          <w:ilvl w:val="0"/>
          <w:numId w:val="0"/>
        </w:numPr>
        <w:spacing w:before="156" w:beforeLines="50" w:after="156" w:afterLines="50"/>
        <w:outlineLvl w:val="1"/>
        <w:rPr>
          <w:szCs w:val="21"/>
        </w:rPr>
      </w:pPr>
      <w:r>
        <w:rPr>
          <w:rFonts w:hint="eastAsia"/>
          <w:szCs w:val="21"/>
          <w:lang w:val="en-US" w:eastAsia="zh-CN"/>
        </w:rPr>
        <w:t>4</w:t>
      </w:r>
      <w:r>
        <w:rPr>
          <w:rFonts w:hint="eastAsia"/>
          <w:szCs w:val="21"/>
        </w:rPr>
        <w:t>.1</w:t>
      </w:r>
      <w:r>
        <w:rPr>
          <w:szCs w:val="21"/>
        </w:rPr>
        <w:t xml:space="preserve"> </w:t>
      </w:r>
      <w:r>
        <w:rPr>
          <w:rFonts w:hint="eastAsia"/>
          <w:szCs w:val="21"/>
        </w:rPr>
        <w:t xml:space="preserve"> 田间控水技术</w:t>
      </w:r>
    </w:p>
    <w:p w14:paraId="6DF07D3A">
      <w:pPr>
        <w:pStyle w:val="104"/>
        <w:numPr>
          <w:ilvl w:val="0"/>
          <w:numId w:val="0"/>
        </w:numPr>
        <w:spacing w:before="156" w:beforeLines="50" w:after="156" w:afterLines="50"/>
        <w:outlineLvl w:val="2"/>
        <w:rPr>
          <w:szCs w:val="21"/>
        </w:rPr>
      </w:pPr>
      <w:r>
        <w:rPr>
          <w:rFonts w:hint="eastAsia"/>
          <w:szCs w:val="21"/>
          <w:lang w:val="en-US" w:eastAsia="zh-CN"/>
        </w:rPr>
        <w:t>4</w:t>
      </w:r>
      <w:r>
        <w:rPr>
          <w:rFonts w:hint="eastAsia"/>
          <w:szCs w:val="21"/>
        </w:rPr>
        <w:t>.1.1</w:t>
      </w:r>
      <w:r>
        <w:rPr>
          <w:szCs w:val="21"/>
        </w:rPr>
        <w:t xml:space="preserve">  </w:t>
      </w:r>
      <w:r>
        <w:rPr>
          <w:rFonts w:hint="eastAsia"/>
          <w:szCs w:val="21"/>
        </w:rPr>
        <w:t>开挖疏通排灌沟渠技术</w:t>
      </w:r>
    </w:p>
    <w:p w14:paraId="5BF88771">
      <w:pPr>
        <w:pStyle w:val="56"/>
        <w:ind w:firstLine="420"/>
      </w:pPr>
      <w:r>
        <w:rPr>
          <w:rFonts w:hint="eastAsia"/>
        </w:rPr>
        <w:t>对砂姜黑土区现有的排水沟、渠以县、区为单位进行统一排查，统一规划设计，根据需要在对老旧沟渠清淤疏通的基础上，酌情开挖新的排灌沟渠，重点提高砂姜黑土区排灌水沟渠的建设标准和建设质量，确保区域内的农田排灌系统“四沟四渠”贯通。同时，在相对独立的自然区域或田块，要开挖好田间“三沟”，起沟的方式要因地制宜，本着厢沟浅、围沟深的原则，一般“三沟”宽40cm，厢沟深25cm，腰沟深30cm，围沟深35cm。</w:t>
      </w:r>
    </w:p>
    <w:p w14:paraId="019BE941">
      <w:pPr>
        <w:pStyle w:val="104"/>
        <w:numPr>
          <w:ilvl w:val="0"/>
          <w:numId w:val="0"/>
        </w:numPr>
        <w:spacing w:before="156" w:beforeLines="50" w:after="156" w:afterLines="50"/>
        <w:outlineLvl w:val="2"/>
        <w:rPr>
          <w:szCs w:val="21"/>
        </w:rPr>
      </w:pPr>
      <w:r>
        <w:rPr>
          <w:rFonts w:hint="eastAsia"/>
          <w:szCs w:val="21"/>
          <w:lang w:val="en-US" w:eastAsia="zh-CN"/>
        </w:rPr>
        <w:t>4</w:t>
      </w:r>
      <w:r>
        <w:rPr>
          <w:rFonts w:hint="eastAsia"/>
          <w:szCs w:val="21"/>
        </w:rPr>
        <w:t xml:space="preserve">.1.2 </w:t>
      </w:r>
      <w:r>
        <w:rPr>
          <w:szCs w:val="21"/>
        </w:rPr>
        <w:t xml:space="preserve"> </w:t>
      </w:r>
      <w:r>
        <w:rPr>
          <w:rFonts w:hint="eastAsia"/>
          <w:szCs w:val="21"/>
        </w:rPr>
        <w:t>土地平整技术</w:t>
      </w:r>
    </w:p>
    <w:p w14:paraId="6870DA42">
      <w:pPr>
        <w:pStyle w:val="56"/>
        <w:ind w:firstLine="420"/>
      </w:pPr>
      <w:r>
        <w:rPr>
          <w:rFonts w:hint="eastAsia"/>
        </w:rPr>
        <w:t>对砂姜黑土区所有田块平整度进行一次测绘摸排，根据田块的规模、地形走势、施工作业效率以及平整单元、田面坡向、基准面等具体情况，在确保表土不流失的情况下进行土地平整，保证田间积水能够顺利排出。纵坡坡度以</w:t>
      </w:r>
      <w:r>
        <w:rPr>
          <w:rFonts w:hint="eastAsia" w:ascii="宋体" w:hAnsi="Times New Roman" w:eastAsia="宋体" w:cs="Times New Roman"/>
        </w:rPr>
        <w:t>0.3%</w:t>
      </w:r>
      <w:r>
        <w:rPr>
          <w:rFonts w:hint="eastAsia" w:ascii="宋体" w:hAnsi="Times New Roman" w:eastAsia="宋体" w:cs="Times New Roman"/>
          <w:lang w:val="en-US" w:eastAsia="zh-CN"/>
        </w:rPr>
        <w:t>-</w:t>
      </w:r>
      <w:r>
        <w:rPr>
          <w:rFonts w:hint="eastAsia" w:ascii="宋体" w:hAnsi="Times New Roman" w:eastAsia="宋体" w:cs="Times New Roman"/>
        </w:rPr>
        <w:t>0.5%为</w:t>
      </w:r>
      <w:r>
        <w:rPr>
          <w:rFonts w:hint="eastAsia"/>
        </w:rPr>
        <w:t>宜，田面纵坡方向应与水流方向一致，局部起伏高差在±5cm之内。</w:t>
      </w:r>
    </w:p>
    <w:p w14:paraId="4C71F882">
      <w:pPr>
        <w:pStyle w:val="104"/>
        <w:numPr>
          <w:ilvl w:val="0"/>
          <w:numId w:val="0"/>
        </w:numPr>
        <w:spacing w:before="156" w:beforeLines="50" w:after="156" w:afterLines="50"/>
        <w:outlineLvl w:val="1"/>
        <w:rPr>
          <w:szCs w:val="21"/>
        </w:rPr>
      </w:pPr>
      <w:r>
        <w:rPr>
          <w:rFonts w:hint="eastAsia"/>
          <w:szCs w:val="21"/>
          <w:lang w:val="en-US" w:eastAsia="zh-CN"/>
        </w:rPr>
        <w:t>4</w:t>
      </w:r>
      <w:r>
        <w:rPr>
          <w:rFonts w:hint="eastAsia"/>
          <w:szCs w:val="21"/>
        </w:rPr>
        <w:t xml:space="preserve">.2 </w:t>
      </w:r>
      <w:r>
        <w:rPr>
          <w:szCs w:val="21"/>
        </w:rPr>
        <w:t xml:space="preserve"> </w:t>
      </w:r>
      <w:r>
        <w:rPr>
          <w:rFonts w:hint="eastAsia"/>
          <w:szCs w:val="21"/>
        </w:rPr>
        <w:t>有机质提升技术</w:t>
      </w:r>
    </w:p>
    <w:p w14:paraId="4B576798">
      <w:pPr>
        <w:pStyle w:val="104"/>
        <w:numPr>
          <w:ilvl w:val="0"/>
          <w:numId w:val="0"/>
        </w:numPr>
        <w:spacing w:before="156" w:beforeLines="50" w:after="156" w:afterLines="50"/>
        <w:outlineLvl w:val="2"/>
        <w:rPr>
          <w:rFonts w:ascii="宋体"/>
        </w:rPr>
      </w:pPr>
      <w:r>
        <w:rPr>
          <w:rFonts w:hint="eastAsia"/>
          <w:szCs w:val="21"/>
          <w:lang w:val="en-US" w:eastAsia="zh-CN"/>
        </w:rPr>
        <w:t>4</w:t>
      </w:r>
      <w:r>
        <w:rPr>
          <w:rFonts w:hint="eastAsia"/>
          <w:szCs w:val="21"/>
        </w:rPr>
        <w:t xml:space="preserve">.2.1 </w:t>
      </w:r>
      <w:r>
        <w:rPr>
          <w:szCs w:val="21"/>
        </w:rPr>
        <w:t xml:space="preserve"> </w:t>
      </w:r>
      <w:r>
        <w:rPr>
          <w:rFonts w:hint="eastAsia"/>
          <w:szCs w:val="21"/>
        </w:rPr>
        <w:t xml:space="preserve">秸秆还田技术 </w:t>
      </w:r>
      <w:r>
        <w:rPr>
          <w:rFonts w:hint="eastAsia" w:ascii="宋体"/>
        </w:rPr>
        <w:t xml:space="preserve"> </w:t>
      </w:r>
    </w:p>
    <w:p w14:paraId="732E2049">
      <w:pPr>
        <w:pStyle w:val="56"/>
        <w:ind w:firstLine="420"/>
      </w:pPr>
      <w:r>
        <w:rPr>
          <w:rFonts w:hint="eastAsia"/>
        </w:rPr>
        <w:t>夏收作物不提倡秸秆还田，秋收作物实施秸秆全量还田。</w:t>
      </w:r>
    </w:p>
    <w:p w14:paraId="24ABB563">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 xml:space="preserve">.2.1.1 </w:t>
      </w:r>
      <w:r>
        <w:rPr>
          <w:szCs w:val="21"/>
        </w:rPr>
        <w:t xml:space="preserve"> </w:t>
      </w:r>
      <w:r>
        <w:rPr>
          <w:rFonts w:hint="eastAsia"/>
          <w:szCs w:val="21"/>
        </w:rPr>
        <w:t>粉碎秸秆</w:t>
      </w:r>
    </w:p>
    <w:p w14:paraId="4B998A34">
      <w:pPr>
        <w:pStyle w:val="56"/>
        <w:ind w:firstLine="420"/>
      </w:pPr>
      <w:r>
        <w:rPr>
          <w:rFonts w:hint="eastAsia"/>
        </w:rPr>
        <w:t>针对不同的农作物秸秆，选用适宜的秸秆还田机，秸秆粉碎长度掌握在10cm以下， 3-5cm最好，切碎长度合格率≥90%，漏切率≤1.5%，残茬高度≤8㎝。</w:t>
      </w:r>
    </w:p>
    <w:p w14:paraId="09C401C4">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 xml:space="preserve">.2.1.2 </w:t>
      </w:r>
      <w:r>
        <w:rPr>
          <w:szCs w:val="21"/>
        </w:rPr>
        <w:t xml:space="preserve"> </w:t>
      </w:r>
      <w:r>
        <w:rPr>
          <w:rFonts w:hint="eastAsia"/>
          <w:szCs w:val="21"/>
        </w:rPr>
        <w:t>抛撒均匀</w:t>
      </w:r>
    </w:p>
    <w:p w14:paraId="5C57C621">
      <w:pPr>
        <w:pStyle w:val="56"/>
        <w:ind w:firstLine="420"/>
      </w:pPr>
      <w:r>
        <w:rPr>
          <w:rFonts w:hint="eastAsia"/>
        </w:rPr>
        <w:t>抛撒不均匀率≤20%，作业后无堆积和条状堆积。</w:t>
      </w:r>
    </w:p>
    <w:p w14:paraId="6AB6E007">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 xml:space="preserve">.2.1.3 </w:t>
      </w:r>
      <w:r>
        <w:rPr>
          <w:szCs w:val="21"/>
        </w:rPr>
        <w:t xml:space="preserve"> </w:t>
      </w:r>
      <w:r>
        <w:rPr>
          <w:rFonts w:hint="eastAsia"/>
          <w:szCs w:val="21"/>
        </w:rPr>
        <w:t>增氮促腐</w:t>
      </w:r>
    </w:p>
    <w:p w14:paraId="2E58C6A4">
      <w:pPr>
        <w:pStyle w:val="56"/>
        <w:ind w:firstLine="420"/>
        <w:rPr>
          <w:highlight w:val="none"/>
        </w:rPr>
      </w:pPr>
      <w:r>
        <w:rPr>
          <w:rFonts w:hint="eastAsia"/>
          <w:highlight w:val="none"/>
        </w:rPr>
        <w:t>结合还田量的多少亩施入尿素10-15kg，或秸秆腐熟剂2-4kg，以加快秸秆腐烂。</w:t>
      </w:r>
    </w:p>
    <w:p w14:paraId="23FFE328">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 xml:space="preserve">.2.1.4 </w:t>
      </w:r>
      <w:r>
        <w:rPr>
          <w:szCs w:val="21"/>
        </w:rPr>
        <w:t xml:space="preserve"> </w:t>
      </w:r>
      <w:r>
        <w:rPr>
          <w:rFonts w:hint="eastAsia"/>
          <w:szCs w:val="21"/>
        </w:rPr>
        <w:t>深耕掩埋</w:t>
      </w:r>
    </w:p>
    <w:p w14:paraId="1EC95593">
      <w:pPr>
        <w:pStyle w:val="56"/>
        <w:ind w:firstLine="420"/>
      </w:pPr>
      <w:r>
        <w:rPr>
          <w:rFonts w:hint="eastAsia"/>
        </w:rPr>
        <w:t>用深耕机械将粉碎后农作物秸秆尽快翻入土中，深度一般要求20-30cm，最好是边收边耕埋，达到粉碎秸秆与土壤充分混合，地面无明显粉碎秸秆，避免盖不匀、压不实，以利于秸秆腐熟分解和保证下茬作物种子发芽出苗。</w:t>
      </w:r>
    </w:p>
    <w:p w14:paraId="4140F6CA">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 xml:space="preserve">.2.1.5 </w:t>
      </w:r>
      <w:r>
        <w:rPr>
          <w:szCs w:val="21"/>
        </w:rPr>
        <w:t xml:space="preserve"> </w:t>
      </w:r>
      <w:r>
        <w:rPr>
          <w:rFonts w:hint="eastAsia"/>
          <w:szCs w:val="21"/>
        </w:rPr>
        <w:t>补充水分</w:t>
      </w:r>
    </w:p>
    <w:p w14:paraId="2CE4B3A2">
      <w:pPr>
        <w:pStyle w:val="56"/>
        <w:ind w:firstLine="420"/>
      </w:pPr>
      <w:r>
        <w:rPr>
          <w:rFonts w:hint="eastAsia"/>
        </w:rPr>
        <w:t>还田播种后的地块要及时浇水确保出苗，后期酌情适量进行浇灌，促进腐熟。</w:t>
      </w:r>
    </w:p>
    <w:p w14:paraId="5CCC0F6A">
      <w:pPr>
        <w:pStyle w:val="104"/>
        <w:numPr>
          <w:ilvl w:val="0"/>
          <w:numId w:val="0"/>
        </w:numPr>
        <w:spacing w:before="156" w:beforeLines="50" w:after="156" w:afterLines="50"/>
        <w:outlineLvl w:val="2"/>
        <w:rPr>
          <w:szCs w:val="21"/>
        </w:rPr>
      </w:pPr>
      <w:r>
        <w:rPr>
          <w:rFonts w:hint="eastAsia"/>
          <w:szCs w:val="21"/>
          <w:lang w:val="en-US" w:eastAsia="zh-CN"/>
        </w:rPr>
        <w:t>4</w:t>
      </w:r>
      <w:r>
        <w:rPr>
          <w:rFonts w:hint="eastAsia"/>
          <w:szCs w:val="21"/>
        </w:rPr>
        <w:t xml:space="preserve">.2.2 </w:t>
      </w:r>
      <w:r>
        <w:rPr>
          <w:szCs w:val="21"/>
        </w:rPr>
        <w:t xml:space="preserve"> </w:t>
      </w:r>
      <w:r>
        <w:rPr>
          <w:rFonts w:hint="eastAsia"/>
          <w:szCs w:val="21"/>
        </w:rPr>
        <w:t>增施沼肥技术</w:t>
      </w:r>
    </w:p>
    <w:p w14:paraId="2450935D">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.2.2.1</w:t>
      </w:r>
      <w:r>
        <w:rPr>
          <w:szCs w:val="21"/>
        </w:rPr>
        <w:t xml:space="preserve"> </w:t>
      </w:r>
      <w:r>
        <w:rPr>
          <w:rFonts w:hint="eastAsia"/>
          <w:szCs w:val="21"/>
        </w:rPr>
        <w:t xml:space="preserve"> 及早基施</w:t>
      </w:r>
    </w:p>
    <w:p w14:paraId="1B782CE0">
      <w:pPr>
        <w:pStyle w:val="56"/>
        <w:ind w:firstLine="420"/>
      </w:pPr>
      <w:r>
        <w:rPr>
          <w:rFonts w:hint="eastAsia"/>
        </w:rPr>
        <w:t>秋收后及早把沼肥施入田间，播种前</w:t>
      </w:r>
      <w:r>
        <w:t>结合整地深</w:t>
      </w:r>
      <w:r>
        <w:rPr>
          <w:rFonts w:hint="eastAsia"/>
        </w:rPr>
        <w:t>翻</w:t>
      </w:r>
      <w:r>
        <w:t>2</w:t>
      </w:r>
      <w:r>
        <w:rPr>
          <w:rFonts w:hint="eastAsia"/>
        </w:rPr>
        <w:t>5cm</w:t>
      </w:r>
      <w:r>
        <w:t>以上，耙匀耙透</w:t>
      </w:r>
      <w:r>
        <w:rPr>
          <w:rFonts w:hint="eastAsia"/>
        </w:rPr>
        <w:t>。</w:t>
      </w:r>
      <w:r>
        <w:t>杜绝随整地、随施肥、随播种，避免沼液与种子直接接触，影响种子出苗。</w:t>
      </w:r>
    </w:p>
    <w:p w14:paraId="7CE1E58B">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.2.2.2</w:t>
      </w:r>
      <w:r>
        <w:rPr>
          <w:szCs w:val="21"/>
        </w:rPr>
        <w:t xml:space="preserve"> </w:t>
      </w:r>
      <w:r>
        <w:rPr>
          <w:rFonts w:hint="eastAsia"/>
          <w:szCs w:val="21"/>
        </w:rPr>
        <w:t xml:space="preserve"> </w:t>
      </w:r>
      <w:r>
        <w:rPr>
          <w:szCs w:val="21"/>
        </w:rPr>
        <w:t>适量均匀</w:t>
      </w:r>
    </w:p>
    <w:p w14:paraId="6C5E5F45">
      <w:pPr>
        <w:pStyle w:val="56"/>
        <w:ind w:firstLine="420"/>
      </w:pPr>
      <w:r>
        <w:t>亩施</w:t>
      </w:r>
      <w:r>
        <w:rPr>
          <w:rFonts w:hint="eastAsia"/>
        </w:rPr>
        <w:t>腐熟</w:t>
      </w:r>
      <w:r>
        <w:t>沼</w:t>
      </w:r>
      <w:r>
        <w:rPr>
          <w:rFonts w:hint="eastAsia"/>
        </w:rPr>
        <w:t>渣或沼液</w:t>
      </w:r>
      <w:r>
        <w:t>3000</w:t>
      </w:r>
      <w:r>
        <w:rPr>
          <w:rFonts w:hint="eastAsia"/>
        </w:rPr>
        <w:t>-4</w:t>
      </w:r>
      <w:r>
        <w:t>000㎏为宜，沼渣以肥土比2%左右为宜，肥土比过大，土壤过于疏松，根土弥合不严，不利于</w:t>
      </w:r>
      <w:r>
        <w:rPr>
          <w:rFonts w:hint="eastAsia"/>
        </w:rPr>
        <w:t>出苗和</w:t>
      </w:r>
      <w:r>
        <w:t>养分转化</w:t>
      </w:r>
      <w:r>
        <w:rPr>
          <w:rFonts w:hint="eastAsia"/>
        </w:rPr>
        <w:t>影响</w:t>
      </w:r>
      <w:r>
        <w:t>农作物</w:t>
      </w:r>
      <w:r>
        <w:rPr>
          <w:rFonts w:hint="eastAsia"/>
        </w:rPr>
        <w:t>生长</w:t>
      </w:r>
      <w:r>
        <w:t>发育。</w:t>
      </w:r>
    </w:p>
    <w:p w14:paraId="2F363973">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 xml:space="preserve">.2.2.3 </w:t>
      </w:r>
      <w:r>
        <w:rPr>
          <w:szCs w:val="21"/>
        </w:rPr>
        <w:t xml:space="preserve"> </w:t>
      </w:r>
      <w:r>
        <w:rPr>
          <w:rFonts w:hint="eastAsia"/>
          <w:szCs w:val="21"/>
        </w:rPr>
        <w:t>补施菌剂</w:t>
      </w:r>
    </w:p>
    <w:p w14:paraId="7B79C85C">
      <w:pPr>
        <w:pStyle w:val="56"/>
        <w:ind w:firstLine="420"/>
      </w:pPr>
      <w:r>
        <w:t>结合整地每亩底施复合微生物菌剂</w:t>
      </w:r>
      <w:r>
        <w:rPr>
          <w:rFonts w:hint="eastAsia"/>
        </w:rPr>
        <w:t>1</w:t>
      </w:r>
      <w:r>
        <w:t>-</w:t>
      </w:r>
      <w:r>
        <w:rPr>
          <w:rFonts w:hint="eastAsia"/>
        </w:rPr>
        <w:t>2kg</w:t>
      </w:r>
      <w:r>
        <w:t>，兑水</w:t>
      </w:r>
      <w:r>
        <w:rPr>
          <w:rFonts w:hint="eastAsia"/>
        </w:rPr>
        <w:t>15-20kg</w:t>
      </w:r>
      <w:r>
        <w:t>喷施或细土拌匀撒施</w:t>
      </w:r>
      <w:r>
        <w:rPr>
          <w:rFonts w:hint="eastAsia"/>
        </w:rPr>
        <w:t>，提高土壤微生物活性，促进养分转化</w:t>
      </w:r>
      <w:r>
        <w:t>。</w:t>
      </w:r>
    </w:p>
    <w:p w14:paraId="14275D50">
      <w:pPr>
        <w:pStyle w:val="104"/>
        <w:numPr>
          <w:ilvl w:val="0"/>
          <w:numId w:val="0"/>
        </w:numPr>
        <w:spacing w:before="156" w:beforeLines="50" w:after="156" w:afterLines="50"/>
        <w:outlineLvl w:val="3"/>
      </w:pPr>
      <w:r>
        <w:rPr>
          <w:rFonts w:hint="eastAsia"/>
          <w:szCs w:val="21"/>
          <w:lang w:val="en-US" w:eastAsia="zh-CN"/>
        </w:rPr>
        <w:t>4</w:t>
      </w:r>
      <w:r>
        <w:rPr>
          <w:rFonts w:hint="eastAsia"/>
          <w:szCs w:val="21"/>
        </w:rPr>
        <w:t xml:space="preserve">.2.2.4 </w:t>
      </w:r>
      <w:r>
        <w:rPr>
          <w:szCs w:val="21"/>
        </w:rPr>
        <w:t xml:space="preserve"> </w:t>
      </w:r>
      <w:r>
        <w:rPr>
          <w:rFonts w:hint="eastAsia"/>
          <w:szCs w:val="21"/>
        </w:rPr>
        <w:t>增施钙肥</w:t>
      </w:r>
    </w:p>
    <w:p w14:paraId="0A0859A7">
      <w:pPr>
        <w:pStyle w:val="56"/>
        <w:ind w:firstLine="420"/>
      </w:pPr>
      <w:r>
        <w:rPr>
          <w:rFonts w:hint="eastAsia"/>
        </w:rPr>
        <w:t>砂姜黑土长期增施沼肥，有酸化趋势，尤其在</w:t>
      </w:r>
      <w:r>
        <w:t>显酸性的土壤中，每亩底施生石灰</w:t>
      </w:r>
      <w:r>
        <w:rPr>
          <w:rFonts w:hint="eastAsia"/>
        </w:rPr>
        <w:t>15</w:t>
      </w:r>
      <w:r>
        <w:t>-20</w:t>
      </w:r>
      <w:r>
        <w:rPr>
          <w:rFonts w:hint="eastAsia"/>
        </w:rPr>
        <w:t>kg</w:t>
      </w:r>
      <w:r>
        <w:t>既缓冲土壤酸化趋势，又补充土壤中钙元素，改善土壤团粒结构，提高土壤肥力</w:t>
      </w:r>
      <w:r>
        <w:rPr>
          <w:rFonts w:hint="eastAsia"/>
        </w:rPr>
        <w:t>。</w:t>
      </w:r>
    </w:p>
    <w:p w14:paraId="40702D1A">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 xml:space="preserve">.2.2.5 </w:t>
      </w:r>
      <w:r>
        <w:rPr>
          <w:szCs w:val="21"/>
        </w:rPr>
        <w:t xml:space="preserve"> </w:t>
      </w:r>
      <w:r>
        <w:rPr>
          <w:rFonts w:hint="eastAsia"/>
          <w:szCs w:val="21"/>
        </w:rPr>
        <w:t>隔年轮施</w:t>
      </w:r>
    </w:p>
    <w:p w14:paraId="7D640241">
      <w:pPr>
        <w:pStyle w:val="56"/>
        <w:ind w:firstLine="420"/>
      </w:pPr>
      <w:r>
        <w:t>常年</w:t>
      </w:r>
      <w:r>
        <w:rPr>
          <w:rFonts w:hint="eastAsia"/>
        </w:rPr>
        <w:t>使用沼肥</w:t>
      </w:r>
      <w:r>
        <w:t>会增加土壤重金属污染风险，因而，底施沼肥要坚持隔年轮施，根据</w:t>
      </w:r>
      <w:r>
        <w:rPr>
          <w:rFonts w:hint="eastAsia"/>
        </w:rPr>
        <w:t>沼肥用量</w:t>
      </w:r>
      <w:r>
        <w:t>间隔2-4年轮施一次，既改善土壤肥力，促进增产，又延长了农田沼肥安全施用期。</w:t>
      </w:r>
    </w:p>
    <w:p w14:paraId="00B7665D">
      <w:pPr>
        <w:pStyle w:val="104"/>
        <w:numPr>
          <w:ilvl w:val="0"/>
          <w:numId w:val="0"/>
        </w:numPr>
        <w:spacing w:before="156" w:beforeLines="50" w:after="156" w:afterLines="50"/>
        <w:outlineLvl w:val="2"/>
        <w:rPr>
          <w:szCs w:val="21"/>
        </w:rPr>
      </w:pPr>
      <w:r>
        <w:rPr>
          <w:rFonts w:hint="eastAsia"/>
          <w:szCs w:val="21"/>
          <w:lang w:val="en-US" w:eastAsia="zh-CN"/>
        </w:rPr>
        <w:t>4</w:t>
      </w:r>
      <w:r>
        <w:rPr>
          <w:rFonts w:hint="eastAsia"/>
          <w:szCs w:val="21"/>
        </w:rPr>
        <w:t xml:space="preserve">.2.3 </w:t>
      </w:r>
      <w:r>
        <w:rPr>
          <w:szCs w:val="21"/>
        </w:rPr>
        <w:t xml:space="preserve"> </w:t>
      </w:r>
      <w:r>
        <w:rPr>
          <w:rFonts w:hint="eastAsia"/>
          <w:szCs w:val="21"/>
        </w:rPr>
        <w:t>增施商品有机肥或有机生物菌肥技术</w:t>
      </w:r>
    </w:p>
    <w:p w14:paraId="05D7295F">
      <w:pPr>
        <w:pStyle w:val="104"/>
        <w:numPr>
          <w:ilvl w:val="0"/>
          <w:numId w:val="0"/>
        </w:numPr>
        <w:spacing w:before="156" w:beforeLines="50" w:after="156" w:afterLines="50"/>
        <w:outlineLvl w:val="1"/>
        <w:rPr>
          <w:szCs w:val="21"/>
        </w:rPr>
      </w:pPr>
      <w:r>
        <w:rPr>
          <w:rFonts w:hint="eastAsia"/>
          <w:szCs w:val="21"/>
          <w:lang w:val="en-US" w:eastAsia="zh-CN"/>
        </w:rPr>
        <w:t>4</w:t>
      </w:r>
      <w:r>
        <w:rPr>
          <w:rFonts w:hint="eastAsia"/>
          <w:szCs w:val="21"/>
        </w:rPr>
        <w:t xml:space="preserve">.2.3.1 </w:t>
      </w:r>
      <w:r>
        <w:rPr>
          <w:szCs w:val="21"/>
        </w:rPr>
        <w:t xml:space="preserve"> </w:t>
      </w:r>
      <w:r>
        <w:rPr>
          <w:rFonts w:hint="eastAsia"/>
          <w:szCs w:val="21"/>
        </w:rPr>
        <w:t>商品有机肥</w:t>
      </w:r>
    </w:p>
    <w:p w14:paraId="16DE9CE2">
      <w:pPr>
        <w:pStyle w:val="56"/>
        <w:ind w:firstLine="420"/>
      </w:pPr>
      <w:r>
        <w:rPr>
          <w:rFonts w:hint="eastAsia"/>
        </w:rPr>
        <w:t>选择有机质含量</w:t>
      </w:r>
      <w:r>
        <w:rPr>
          <w:rFonts w:hint="eastAsia"/>
          <w:lang w:val="en-US" w:eastAsia="zh-CN"/>
        </w:rPr>
        <w:t>大于3</w:t>
      </w:r>
      <w:r>
        <w:rPr>
          <w:rFonts w:hint="eastAsia"/>
        </w:rPr>
        <w:t>0%的商品有机肥，结合整地一次性底施，根据地力基础，亩施用量100-250kg为宜，同时可酌情减施化肥用量。</w:t>
      </w:r>
    </w:p>
    <w:p w14:paraId="7D31FF00">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.2.3.2</w:t>
      </w:r>
      <w:r>
        <w:rPr>
          <w:szCs w:val="21"/>
        </w:rPr>
        <w:t xml:space="preserve"> </w:t>
      </w:r>
      <w:r>
        <w:rPr>
          <w:rFonts w:hint="eastAsia"/>
          <w:szCs w:val="21"/>
        </w:rPr>
        <w:t xml:space="preserve"> 有机生物菌肥</w:t>
      </w:r>
    </w:p>
    <w:p w14:paraId="75354C30">
      <w:pPr>
        <w:pStyle w:val="56"/>
        <w:ind w:firstLine="420"/>
      </w:pPr>
      <w:r>
        <w:rPr>
          <w:rFonts w:hint="eastAsia"/>
        </w:rPr>
        <w:t>选择活性菌含量为2-5亿/g的有机生物菌肥结合整地一次性底施，亩施用量25-50kg为宜。</w:t>
      </w:r>
    </w:p>
    <w:p w14:paraId="18B8BAB9">
      <w:pPr>
        <w:pStyle w:val="104"/>
        <w:numPr>
          <w:ilvl w:val="0"/>
          <w:numId w:val="0"/>
        </w:numPr>
        <w:spacing w:before="156" w:beforeLines="50" w:after="156" w:afterLines="50"/>
        <w:outlineLvl w:val="1"/>
        <w:rPr>
          <w:szCs w:val="21"/>
        </w:rPr>
      </w:pPr>
      <w:r>
        <w:rPr>
          <w:rFonts w:hint="eastAsia"/>
          <w:szCs w:val="21"/>
          <w:lang w:val="en-US" w:eastAsia="zh-CN"/>
        </w:rPr>
        <w:t>4</w:t>
      </w:r>
      <w:r>
        <w:rPr>
          <w:rFonts w:hint="eastAsia"/>
          <w:szCs w:val="21"/>
        </w:rPr>
        <w:t xml:space="preserve">.3 </w:t>
      </w:r>
      <w:r>
        <w:rPr>
          <w:szCs w:val="21"/>
        </w:rPr>
        <w:t xml:space="preserve"> </w:t>
      </w:r>
      <w:r>
        <w:rPr>
          <w:rFonts w:hint="eastAsia"/>
          <w:szCs w:val="21"/>
        </w:rPr>
        <w:t>耕作方式优化技术</w:t>
      </w:r>
    </w:p>
    <w:p w14:paraId="17A19991">
      <w:pPr>
        <w:pStyle w:val="104"/>
        <w:numPr>
          <w:ilvl w:val="0"/>
          <w:numId w:val="0"/>
        </w:numPr>
        <w:spacing w:before="156" w:beforeLines="50" w:after="156" w:afterLines="50"/>
        <w:outlineLvl w:val="2"/>
        <w:rPr>
          <w:szCs w:val="21"/>
        </w:rPr>
      </w:pPr>
      <w:r>
        <w:rPr>
          <w:rFonts w:hint="eastAsia"/>
          <w:szCs w:val="21"/>
          <w:lang w:val="en-US" w:eastAsia="zh-CN"/>
        </w:rPr>
        <w:t>4</w:t>
      </w:r>
      <w:r>
        <w:rPr>
          <w:rFonts w:hint="eastAsia"/>
          <w:szCs w:val="21"/>
        </w:rPr>
        <w:t>.3.1</w:t>
      </w:r>
      <w:r>
        <w:rPr>
          <w:szCs w:val="21"/>
        </w:rPr>
        <w:t xml:space="preserve">  </w:t>
      </w:r>
      <w:r>
        <w:rPr>
          <w:rFonts w:hint="eastAsia"/>
          <w:szCs w:val="21"/>
        </w:rPr>
        <w:t>机械深翻</w:t>
      </w:r>
    </w:p>
    <w:p w14:paraId="7C06CE79">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.3.1.1</w:t>
      </w:r>
      <w:r>
        <w:rPr>
          <w:szCs w:val="21"/>
        </w:rPr>
        <w:t xml:space="preserve">  </w:t>
      </w:r>
      <w:r>
        <w:rPr>
          <w:rFonts w:hint="eastAsia"/>
          <w:szCs w:val="21"/>
        </w:rPr>
        <w:t>及时及早深翻</w:t>
      </w:r>
    </w:p>
    <w:p w14:paraId="6B4EC8AC">
      <w:pPr>
        <w:pStyle w:val="56"/>
        <w:ind w:firstLine="420"/>
      </w:pPr>
      <w:r>
        <w:rPr>
          <w:rFonts w:hint="eastAsia"/>
        </w:rPr>
        <w:t>当土壤含水量在15－2</w:t>
      </w:r>
      <w:r>
        <w:rPr>
          <w:rFonts w:hint="eastAsia"/>
          <w:lang w:val="en-US" w:eastAsia="zh-CN"/>
        </w:rPr>
        <w:t>2</w:t>
      </w:r>
      <w:r>
        <w:rPr>
          <w:rFonts w:hint="eastAsia"/>
        </w:rPr>
        <w:t>%时及早作业，切忌在土壤粘湿时深翻。</w:t>
      </w:r>
    </w:p>
    <w:p w14:paraId="03A0A372">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.3.1.2</w:t>
      </w:r>
      <w:r>
        <w:rPr>
          <w:szCs w:val="21"/>
        </w:rPr>
        <w:t xml:space="preserve">  </w:t>
      </w:r>
      <w:r>
        <w:rPr>
          <w:rFonts w:hint="eastAsia"/>
          <w:szCs w:val="21"/>
        </w:rPr>
        <w:t>合理控制并逐步增加作业深度</w:t>
      </w:r>
    </w:p>
    <w:p w14:paraId="55F12ECE">
      <w:pPr>
        <w:pStyle w:val="56"/>
        <w:ind w:firstLine="420"/>
      </w:pPr>
      <w:r>
        <w:rPr>
          <w:rFonts w:hint="eastAsia"/>
        </w:rPr>
        <w:t>对土壤结构良好，有机质含量较高或表土黏厚的深位厚覆砂姜黑土要循序渐进，逐渐加深耕层，达到25cm以上，但一般不要超过35cm，切忌将生土翻入耕层；对浅位薄覆砂姜黑土以不翻出砂姜，不破坏耕层结构为准。</w:t>
      </w:r>
    </w:p>
    <w:p w14:paraId="1D8DCA9E">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.3.1.3</w:t>
      </w:r>
      <w:r>
        <w:rPr>
          <w:szCs w:val="21"/>
        </w:rPr>
        <w:t xml:space="preserve">  </w:t>
      </w:r>
      <w:r>
        <w:rPr>
          <w:rFonts w:hint="eastAsia"/>
          <w:szCs w:val="21"/>
        </w:rPr>
        <w:t>结合耕地实际，落实好技术参数</w:t>
      </w:r>
    </w:p>
    <w:p w14:paraId="29B9425C">
      <w:pPr>
        <w:pStyle w:val="56"/>
        <w:ind w:firstLine="420"/>
      </w:pPr>
      <w:r>
        <w:rPr>
          <w:rFonts w:hint="eastAsia"/>
        </w:rPr>
        <w:t>减少开闭垅，闭垅高度应小于10 cm，开垅宽度应小于35 cm，深度小于10 cm；实际耕幅与犁耕幅一致，避免漏耕，重耕；立垡、回垡率小于3%。</w:t>
      </w:r>
    </w:p>
    <w:p w14:paraId="1611739E">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.3.1.4</w:t>
      </w:r>
      <w:r>
        <w:rPr>
          <w:szCs w:val="21"/>
        </w:rPr>
        <w:t xml:space="preserve">  </w:t>
      </w:r>
      <w:r>
        <w:rPr>
          <w:rFonts w:hint="eastAsia"/>
          <w:szCs w:val="21"/>
        </w:rPr>
        <w:t>整地质量要达到“五字标准”</w:t>
      </w:r>
    </w:p>
    <w:p w14:paraId="66E91EDB">
      <w:pPr>
        <w:pStyle w:val="56"/>
        <w:ind w:firstLine="420"/>
      </w:pPr>
      <w:r>
        <w:rPr>
          <w:rFonts w:hint="eastAsia"/>
        </w:rPr>
        <w:t>即：深、净、细、实、平。</w:t>
      </w:r>
    </w:p>
    <w:p w14:paraId="0088989C">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.3.1.5</w:t>
      </w:r>
      <w:r>
        <w:rPr>
          <w:szCs w:val="21"/>
        </w:rPr>
        <w:t xml:space="preserve">  </w:t>
      </w:r>
      <w:r>
        <w:rPr>
          <w:rFonts w:hint="eastAsia"/>
          <w:szCs w:val="21"/>
        </w:rPr>
        <w:t>作业周期</w:t>
      </w:r>
    </w:p>
    <w:p w14:paraId="01E00F05">
      <w:pPr>
        <w:pStyle w:val="56"/>
        <w:ind w:firstLine="420"/>
      </w:pPr>
      <w:r>
        <w:rPr>
          <w:rFonts w:hint="eastAsia"/>
        </w:rPr>
        <w:t>每隔2-3年于秋作物收获后深翻一次。</w:t>
      </w:r>
    </w:p>
    <w:p w14:paraId="5872CBE8">
      <w:pPr>
        <w:pStyle w:val="104"/>
        <w:numPr>
          <w:ilvl w:val="0"/>
          <w:numId w:val="0"/>
        </w:numPr>
        <w:spacing w:before="156" w:beforeLines="50" w:after="156" w:afterLines="50"/>
        <w:outlineLvl w:val="2"/>
        <w:rPr>
          <w:szCs w:val="21"/>
        </w:rPr>
      </w:pPr>
      <w:r>
        <w:rPr>
          <w:rFonts w:hint="eastAsia"/>
          <w:szCs w:val="21"/>
          <w:lang w:val="en-US" w:eastAsia="zh-CN"/>
        </w:rPr>
        <w:t>4</w:t>
      </w:r>
      <w:r>
        <w:rPr>
          <w:rFonts w:hint="eastAsia"/>
          <w:szCs w:val="21"/>
        </w:rPr>
        <w:t xml:space="preserve">.3.2 </w:t>
      </w:r>
      <w:r>
        <w:rPr>
          <w:szCs w:val="21"/>
        </w:rPr>
        <w:t xml:space="preserve"> </w:t>
      </w:r>
      <w:r>
        <w:rPr>
          <w:rFonts w:hint="eastAsia"/>
          <w:szCs w:val="21"/>
        </w:rPr>
        <w:t>机械深松</w:t>
      </w:r>
    </w:p>
    <w:p w14:paraId="3746D177">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.3.2.1</w:t>
      </w:r>
      <w:r>
        <w:rPr>
          <w:szCs w:val="21"/>
        </w:rPr>
        <w:t xml:space="preserve">  </w:t>
      </w:r>
      <w:r>
        <w:rPr>
          <w:rFonts w:hint="eastAsia"/>
          <w:szCs w:val="21"/>
        </w:rPr>
        <w:t>适时深松</w:t>
      </w:r>
    </w:p>
    <w:p w14:paraId="34F7FCE7">
      <w:pPr>
        <w:pStyle w:val="56"/>
        <w:ind w:firstLine="420"/>
      </w:pPr>
      <w:r>
        <w:rPr>
          <w:rFonts w:hint="eastAsia"/>
        </w:rPr>
        <w:t>夏、秋两季均可进行，前茬作物收获后，对秸秆进行处理，在土壤含水量15-20%时，及时进行深松作业，松幅以50cm为宜，作业深度25-30cm，深松作业深度要一致，不得漏松。深松后及时耙地，做到耙平、耙实、耙细。</w:t>
      </w:r>
    </w:p>
    <w:p w14:paraId="32A01CD2">
      <w:pPr>
        <w:pStyle w:val="104"/>
        <w:numPr>
          <w:ilvl w:val="0"/>
          <w:numId w:val="0"/>
        </w:numPr>
        <w:spacing w:before="156" w:beforeLines="50" w:after="156" w:afterLines="50"/>
        <w:outlineLvl w:val="3"/>
        <w:rPr>
          <w:szCs w:val="21"/>
        </w:rPr>
      </w:pPr>
      <w:r>
        <w:rPr>
          <w:rFonts w:hint="eastAsia"/>
          <w:szCs w:val="21"/>
          <w:lang w:val="en-US" w:eastAsia="zh-CN"/>
        </w:rPr>
        <w:t>4</w:t>
      </w:r>
      <w:r>
        <w:rPr>
          <w:rFonts w:hint="eastAsia"/>
          <w:szCs w:val="21"/>
        </w:rPr>
        <w:t>.3.2.2</w:t>
      </w:r>
      <w:r>
        <w:rPr>
          <w:szCs w:val="21"/>
        </w:rPr>
        <w:t xml:space="preserve">  </w:t>
      </w:r>
      <w:r>
        <w:rPr>
          <w:rFonts w:hint="eastAsia"/>
          <w:szCs w:val="21"/>
        </w:rPr>
        <w:t>作业周期</w:t>
      </w:r>
    </w:p>
    <w:p w14:paraId="0BACF50E">
      <w:pPr>
        <w:pStyle w:val="56"/>
        <w:ind w:firstLine="420"/>
      </w:pPr>
      <w:r>
        <w:rPr>
          <w:rFonts w:hint="eastAsia"/>
        </w:rPr>
        <w:t>每隔2-4年深松一次。</w:t>
      </w:r>
    </w:p>
    <w:p w14:paraId="0541E372">
      <w:pPr>
        <w:pStyle w:val="104"/>
        <w:numPr>
          <w:ilvl w:val="0"/>
          <w:numId w:val="0"/>
        </w:numPr>
        <w:spacing w:before="156" w:beforeLines="50" w:after="156" w:afterLines="50"/>
        <w:outlineLvl w:val="1"/>
        <w:rPr>
          <w:szCs w:val="21"/>
        </w:rPr>
      </w:pPr>
      <w:r>
        <w:rPr>
          <w:rFonts w:hint="eastAsia"/>
          <w:szCs w:val="21"/>
          <w:lang w:val="en-US" w:eastAsia="zh-CN"/>
        </w:rPr>
        <w:t>4</w:t>
      </w:r>
      <w:r>
        <w:rPr>
          <w:rFonts w:hint="eastAsia"/>
          <w:szCs w:val="21"/>
        </w:rPr>
        <w:t>.4</w:t>
      </w:r>
      <w:r>
        <w:rPr>
          <w:szCs w:val="21"/>
        </w:rPr>
        <w:t xml:space="preserve"> </w:t>
      </w:r>
      <w:r>
        <w:rPr>
          <w:rFonts w:hint="eastAsia"/>
          <w:szCs w:val="21"/>
        </w:rPr>
        <w:t xml:space="preserve"> 测土配方施肥技术</w:t>
      </w:r>
    </w:p>
    <w:p w14:paraId="4BBF5037">
      <w:pPr>
        <w:pStyle w:val="56"/>
        <w:ind w:firstLine="420"/>
      </w:pPr>
      <w:r>
        <w:rPr>
          <w:rFonts w:hint="eastAsia"/>
        </w:rPr>
        <w:t>根据土壤检测结果，在专业技术人员的指导下，根据农作物的目标产量和土壤养分的测定值，确定施肥量、施肥种类、施肥时期，有针对性地补充作物所需的营养元素，做到控氮、稳磷、补钾、增微，保持砂姜黑土土壤养分持续平衡供应，满足作物需求，避免盲目施肥，减少土壤环境污染，提高耕地质量及产能。</w:t>
      </w:r>
    </w:p>
    <w:p w14:paraId="05752754">
      <w:pPr>
        <w:pStyle w:val="104"/>
        <w:numPr>
          <w:ilvl w:val="0"/>
          <w:numId w:val="0"/>
        </w:numPr>
        <w:spacing w:before="156" w:beforeLines="50" w:after="156" w:afterLines="50"/>
        <w:outlineLvl w:val="1"/>
        <w:rPr>
          <w:szCs w:val="21"/>
        </w:rPr>
      </w:pPr>
      <w:r>
        <w:rPr>
          <w:rFonts w:hint="eastAsia"/>
          <w:szCs w:val="21"/>
          <w:lang w:val="en-US" w:eastAsia="zh-CN"/>
        </w:rPr>
        <w:t>4</w:t>
      </w:r>
      <w:r>
        <w:rPr>
          <w:rFonts w:hint="eastAsia"/>
          <w:szCs w:val="21"/>
        </w:rPr>
        <w:t>.5</w:t>
      </w:r>
      <w:r>
        <w:rPr>
          <w:szCs w:val="21"/>
        </w:rPr>
        <w:t xml:space="preserve"> </w:t>
      </w:r>
      <w:r>
        <w:rPr>
          <w:rFonts w:hint="eastAsia"/>
          <w:szCs w:val="21"/>
        </w:rPr>
        <w:t xml:space="preserve"> 土壤调理剂应用技术</w:t>
      </w:r>
    </w:p>
    <w:p w14:paraId="17DFEA97">
      <w:pPr>
        <w:pStyle w:val="104"/>
        <w:numPr>
          <w:ilvl w:val="0"/>
          <w:numId w:val="0"/>
        </w:numPr>
        <w:spacing w:before="156" w:beforeLines="50" w:after="156" w:afterLines="50"/>
        <w:outlineLvl w:val="2"/>
        <w:rPr>
          <w:szCs w:val="21"/>
        </w:rPr>
      </w:pPr>
      <w:r>
        <w:rPr>
          <w:rFonts w:hint="eastAsia"/>
          <w:szCs w:val="21"/>
          <w:lang w:val="en-US" w:eastAsia="zh-CN"/>
        </w:rPr>
        <w:t>4</w:t>
      </w:r>
      <w:r>
        <w:rPr>
          <w:rFonts w:hint="eastAsia"/>
          <w:szCs w:val="21"/>
        </w:rPr>
        <w:t>.5.1</w:t>
      </w:r>
      <w:r>
        <w:rPr>
          <w:szCs w:val="21"/>
        </w:rPr>
        <w:t xml:space="preserve"> </w:t>
      </w:r>
      <w:r>
        <w:rPr>
          <w:rFonts w:hint="eastAsia"/>
          <w:szCs w:val="21"/>
        </w:rPr>
        <w:t xml:space="preserve"> 增施石灰、草木灰等调节土壤酸碱度</w:t>
      </w:r>
    </w:p>
    <w:p w14:paraId="7A7269D3">
      <w:pPr>
        <w:pStyle w:val="56"/>
        <w:ind w:firstLine="420"/>
      </w:pPr>
      <w:r>
        <w:rPr>
          <w:rFonts w:hint="eastAsia"/>
        </w:rPr>
        <w:t>结合秋播整地每亩施入20-25kg石灰，搭配1-2吨农家肥，也可施草木灰40-50kg，中和土壤酸性，调节土壤的理化状况。</w:t>
      </w:r>
    </w:p>
    <w:p w14:paraId="41257163">
      <w:pPr>
        <w:pStyle w:val="56"/>
        <w:spacing w:before="156" w:beforeLines="50" w:after="156" w:afterLines="50"/>
        <w:ind w:firstLine="0" w:firstLineChars="0"/>
        <w:outlineLvl w:val="2"/>
        <w:rPr>
          <w:rFonts w:ascii="黑体" w:eastAsia="黑体"/>
          <w:szCs w:val="21"/>
        </w:rPr>
      </w:pPr>
      <w:r>
        <w:rPr>
          <w:rFonts w:hint="eastAsia" w:ascii="黑体" w:eastAsia="黑体"/>
          <w:szCs w:val="21"/>
          <w:lang w:val="en-US" w:eastAsia="zh-CN"/>
        </w:rPr>
        <w:t>4</w:t>
      </w:r>
      <w:r>
        <w:rPr>
          <w:rFonts w:hint="eastAsia" w:ascii="黑体" w:eastAsia="黑体"/>
          <w:szCs w:val="21"/>
        </w:rPr>
        <w:t xml:space="preserve">.5.2 </w:t>
      </w:r>
      <w:r>
        <w:rPr>
          <w:rFonts w:ascii="黑体" w:eastAsia="黑体"/>
          <w:szCs w:val="21"/>
        </w:rPr>
        <w:t xml:space="preserve"> </w:t>
      </w:r>
      <w:r>
        <w:rPr>
          <w:rFonts w:hint="eastAsia" w:ascii="黑体" w:eastAsia="黑体"/>
          <w:szCs w:val="21"/>
        </w:rPr>
        <w:t>增施水溶性菌剂</w:t>
      </w:r>
    </w:p>
    <w:p w14:paraId="1252B938">
      <w:pPr>
        <w:pStyle w:val="56"/>
        <w:ind w:firstLine="420"/>
      </w:pPr>
      <w:r>
        <w:rPr>
          <w:rFonts w:hint="eastAsia"/>
        </w:rPr>
        <w:t>采用拌种或土壤处理方式，每亩施用包含枯草芽孢杆菌、地衣芽孢杆菌、解淀粉芽孢杆菌、哈茨木霉菌等有效活菌数≥2亿/g的水溶性菌剂1-2kg。</w:t>
      </w:r>
    </w:p>
    <w:p w14:paraId="57AC9536">
      <w:pPr>
        <w:pStyle w:val="56"/>
        <w:spacing w:before="156" w:beforeLines="50" w:after="156" w:afterLines="50"/>
        <w:ind w:firstLine="0" w:firstLineChars="0"/>
        <w:outlineLvl w:val="2"/>
        <w:rPr>
          <w:rFonts w:ascii="黑体" w:eastAsia="黑体"/>
          <w:szCs w:val="21"/>
        </w:rPr>
      </w:pPr>
      <w:r>
        <w:rPr>
          <w:rFonts w:hint="eastAsia" w:ascii="黑体" w:eastAsia="黑体"/>
          <w:szCs w:val="21"/>
          <w:lang w:val="en-US" w:eastAsia="zh-CN"/>
        </w:rPr>
        <w:t>4</w:t>
      </w:r>
      <w:r>
        <w:rPr>
          <w:rFonts w:hint="eastAsia" w:ascii="黑体" w:eastAsia="黑体"/>
          <w:szCs w:val="21"/>
        </w:rPr>
        <w:t xml:space="preserve">.5.3 </w:t>
      </w:r>
      <w:r>
        <w:rPr>
          <w:rFonts w:ascii="黑体" w:eastAsia="黑体"/>
          <w:szCs w:val="21"/>
        </w:rPr>
        <w:t xml:space="preserve"> </w:t>
      </w:r>
      <w:r>
        <w:rPr>
          <w:rFonts w:hint="eastAsia" w:ascii="黑体" w:eastAsia="黑体"/>
          <w:szCs w:val="21"/>
        </w:rPr>
        <w:t>增施粉煤灰、生物质碳等土壤调理剂，改善土壤理化性状</w:t>
      </w:r>
    </w:p>
    <w:p w14:paraId="0A984CAC">
      <w:pPr>
        <w:pStyle w:val="56"/>
        <w:ind w:firstLine="420"/>
      </w:pPr>
      <w:r>
        <w:rPr>
          <w:rFonts w:hint="eastAsia"/>
        </w:rPr>
        <w:t>结合整地每亩一次性底施粉煤灰2-3t或生物碳1-2t，然后耙耱2-3遍，使之与耕层土壤掺和均匀，改善土壤结构，提高耕地质量。</w:t>
      </w:r>
    </w:p>
    <w:p w14:paraId="0FC22639">
      <w:pPr>
        <w:pStyle w:val="104"/>
        <w:numPr>
          <w:ilvl w:val="0"/>
          <w:numId w:val="0"/>
        </w:numPr>
        <w:spacing w:before="156" w:beforeLines="50" w:after="156" w:afterLines="50"/>
        <w:outlineLvl w:val="1"/>
        <w:rPr>
          <w:szCs w:val="21"/>
        </w:rPr>
      </w:pPr>
      <w:r>
        <w:rPr>
          <w:rFonts w:hint="eastAsia"/>
          <w:szCs w:val="21"/>
          <w:lang w:val="en-US" w:eastAsia="zh-CN"/>
        </w:rPr>
        <w:t>4</w:t>
      </w:r>
      <w:r>
        <w:rPr>
          <w:rFonts w:hint="eastAsia"/>
          <w:szCs w:val="21"/>
        </w:rPr>
        <w:t xml:space="preserve">.6 </w:t>
      </w:r>
      <w:r>
        <w:rPr>
          <w:szCs w:val="21"/>
        </w:rPr>
        <w:t xml:space="preserve"> </w:t>
      </w:r>
      <w:r>
        <w:rPr>
          <w:rFonts w:hint="eastAsia"/>
          <w:szCs w:val="21"/>
        </w:rPr>
        <w:t>种植绿肥技术</w:t>
      </w:r>
    </w:p>
    <w:p w14:paraId="194E7E4B">
      <w:pPr>
        <w:pStyle w:val="56"/>
        <w:spacing w:before="156" w:beforeLines="50" w:after="156" w:afterLines="50"/>
        <w:ind w:firstLine="0" w:firstLineChars="0"/>
        <w:outlineLvl w:val="2"/>
        <w:rPr>
          <w:rFonts w:ascii="黑体" w:hAnsi="黑体" w:eastAsia="黑体"/>
        </w:rPr>
      </w:pPr>
      <w:r>
        <w:rPr>
          <w:rFonts w:hint="eastAsia" w:ascii="黑体" w:hAnsi="黑体" w:eastAsia="黑体"/>
          <w:lang w:val="en-US" w:eastAsia="zh-CN"/>
        </w:rPr>
        <w:t>4</w:t>
      </w:r>
      <w:r>
        <w:rPr>
          <w:rFonts w:hint="eastAsia" w:ascii="黑体" w:hAnsi="黑体" w:eastAsia="黑体"/>
        </w:rPr>
        <w:t xml:space="preserve">.6.1 </w:t>
      </w:r>
      <w:r>
        <w:rPr>
          <w:rFonts w:ascii="黑体" w:hAnsi="黑体" w:eastAsia="黑体"/>
        </w:rPr>
        <w:t xml:space="preserve"> </w:t>
      </w:r>
      <w:r>
        <w:rPr>
          <w:rFonts w:hint="eastAsia" w:ascii="黑体" w:hAnsi="黑体" w:eastAsia="黑体"/>
        </w:rPr>
        <w:t>品种选择</w:t>
      </w:r>
    </w:p>
    <w:p w14:paraId="264113FA">
      <w:pPr>
        <w:pStyle w:val="56"/>
        <w:ind w:firstLine="420"/>
      </w:pPr>
      <w:r>
        <w:rPr>
          <w:rFonts w:hint="eastAsia"/>
        </w:rPr>
        <w:t>以豆科绿肥为主，依据当地降水量、积温及种植制度，选择种植紫花苜蓿、蚕豆、田青等绿肥作物。</w:t>
      </w:r>
    </w:p>
    <w:p w14:paraId="241FC395">
      <w:pPr>
        <w:pStyle w:val="56"/>
        <w:spacing w:before="156" w:beforeLines="50" w:after="156" w:afterLines="50"/>
        <w:ind w:firstLine="0" w:firstLineChars="0"/>
        <w:outlineLvl w:val="2"/>
        <w:rPr>
          <w:rFonts w:ascii="黑体" w:hAnsi="黑体" w:eastAsia="黑体"/>
        </w:rPr>
      </w:pPr>
      <w:r>
        <w:rPr>
          <w:rFonts w:hint="eastAsia" w:ascii="黑体" w:hAnsi="黑体" w:eastAsia="黑体"/>
          <w:lang w:val="en-US" w:eastAsia="zh-CN"/>
        </w:rPr>
        <w:t>4</w:t>
      </w:r>
      <w:r>
        <w:rPr>
          <w:rFonts w:hint="eastAsia" w:ascii="黑体" w:hAnsi="黑体" w:eastAsia="黑体"/>
        </w:rPr>
        <w:t>.6.2</w:t>
      </w:r>
      <w:r>
        <w:rPr>
          <w:rFonts w:ascii="黑体" w:hAnsi="黑体" w:eastAsia="黑体"/>
        </w:rPr>
        <w:t xml:space="preserve"> </w:t>
      </w:r>
      <w:r>
        <w:rPr>
          <w:rFonts w:hint="eastAsia" w:ascii="黑体" w:hAnsi="黑体" w:eastAsia="黑体"/>
        </w:rPr>
        <w:t xml:space="preserve"> 种植方式</w:t>
      </w:r>
    </w:p>
    <w:p w14:paraId="06766A6E">
      <w:pPr>
        <w:pStyle w:val="56"/>
        <w:spacing w:before="156" w:beforeLines="50" w:after="156" w:afterLines="50"/>
        <w:ind w:firstLine="0" w:firstLineChars="0"/>
        <w:outlineLvl w:val="2"/>
        <w:rPr>
          <w:rFonts w:ascii="黑体" w:hAnsi="黑体" w:eastAsia="黑体"/>
        </w:rPr>
      </w:pPr>
      <w:r>
        <w:rPr>
          <w:rFonts w:hint="eastAsia" w:ascii="黑体" w:hAnsi="黑体" w:eastAsia="黑体"/>
          <w:lang w:val="en-US" w:eastAsia="zh-CN"/>
        </w:rPr>
        <w:t>4</w:t>
      </w:r>
      <w:r>
        <w:rPr>
          <w:rFonts w:hint="eastAsia" w:ascii="黑体" w:hAnsi="黑体" w:eastAsia="黑体"/>
        </w:rPr>
        <w:t>.6.2.1</w:t>
      </w:r>
      <w:r>
        <w:rPr>
          <w:rFonts w:ascii="黑体" w:hAnsi="黑体" w:eastAsia="黑体"/>
        </w:rPr>
        <w:t xml:space="preserve">  </w:t>
      </w:r>
      <w:r>
        <w:fldChar w:fldCharType="begin"/>
      </w:r>
      <w:r>
        <w:instrText xml:space="preserve"> HYPERLINK "https://baike.so.com/doc/2035999-2154254.html" \t "https://baike.so.com/doc/_blank" </w:instrText>
      </w:r>
      <w:r>
        <w:fldChar w:fldCharType="separate"/>
      </w:r>
      <w:r>
        <w:rPr>
          <w:rFonts w:ascii="黑体" w:hAnsi="黑体" w:eastAsia="黑体"/>
        </w:rPr>
        <w:t>间作套种</w:t>
      </w:r>
      <w:r>
        <w:rPr>
          <w:rFonts w:ascii="黑体" w:hAnsi="黑体" w:eastAsia="黑体"/>
        </w:rPr>
        <w:fldChar w:fldCharType="end"/>
      </w:r>
    </w:p>
    <w:p w14:paraId="6DFE2339">
      <w:pPr>
        <w:pStyle w:val="56"/>
        <w:ind w:firstLine="420"/>
        <w:rPr>
          <w:b/>
          <w:bCs/>
        </w:rPr>
      </w:pPr>
      <w:r>
        <w:rPr>
          <w:rFonts w:hint="eastAsia"/>
        </w:rPr>
        <w:t>夏播主栽作物采取宽、窄行种植，宽行内间作或套种绿肥作物</w:t>
      </w:r>
      <w:r>
        <w:rPr>
          <w:rFonts w:hint="eastAsia"/>
          <w:b/>
          <w:bCs/>
        </w:rPr>
        <w:t>。</w:t>
      </w:r>
    </w:p>
    <w:p w14:paraId="2DF5DF27">
      <w:pPr>
        <w:pStyle w:val="56"/>
        <w:spacing w:before="156" w:beforeLines="50" w:after="156" w:afterLines="50"/>
        <w:ind w:firstLine="0" w:firstLineChars="0"/>
        <w:outlineLvl w:val="2"/>
        <w:rPr>
          <w:rFonts w:ascii="黑体" w:hAnsi="黑体" w:eastAsia="黑体"/>
        </w:rPr>
      </w:pPr>
      <w:r>
        <w:rPr>
          <w:rFonts w:hint="eastAsia" w:ascii="黑体" w:hAnsi="黑体" w:eastAsia="黑体"/>
          <w:lang w:val="en-US" w:eastAsia="zh-CN"/>
        </w:rPr>
        <w:t>4</w:t>
      </w:r>
      <w:r>
        <w:rPr>
          <w:rFonts w:hint="eastAsia" w:ascii="黑体" w:hAnsi="黑体" w:eastAsia="黑体"/>
        </w:rPr>
        <w:t>.6.2.2</w:t>
      </w:r>
      <w:r>
        <w:rPr>
          <w:rFonts w:ascii="黑体" w:hAnsi="黑体" w:eastAsia="黑体"/>
        </w:rPr>
        <w:t xml:space="preserve">  </w:t>
      </w:r>
      <w:r>
        <w:fldChar w:fldCharType="begin"/>
      </w:r>
      <w:r>
        <w:instrText xml:space="preserve"> HYPERLINK "https://baike.so.com/doc/9197698-9530964.html" \t "https://baike.so.com/doc/_blank" </w:instrText>
      </w:r>
      <w:r>
        <w:fldChar w:fldCharType="separate"/>
      </w:r>
      <w:r>
        <w:rPr>
          <w:rFonts w:ascii="黑体" w:hAnsi="黑体" w:eastAsia="黑体"/>
        </w:rPr>
        <w:t>轮作</w:t>
      </w:r>
      <w:r>
        <w:rPr>
          <w:rFonts w:ascii="黑体" w:hAnsi="黑体" w:eastAsia="黑体"/>
        </w:rPr>
        <w:fldChar w:fldCharType="end"/>
      </w:r>
    </w:p>
    <w:p w14:paraId="29A82B4C">
      <w:pPr>
        <w:pStyle w:val="56"/>
        <w:ind w:firstLine="420"/>
      </w:pPr>
      <w:r>
        <w:rPr>
          <w:rFonts w:hint="eastAsia"/>
        </w:rPr>
        <w:t>每隔3-5年主栽作物与绿肥轮作一次。</w:t>
      </w:r>
    </w:p>
    <w:p w14:paraId="1C69287C">
      <w:pPr>
        <w:pStyle w:val="56"/>
        <w:spacing w:before="156" w:beforeLines="50" w:after="156" w:afterLines="50"/>
        <w:ind w:firstLine="0" w:firstLineChars="0"/>
        <w:outlineLvl w:val="2"/>
        <w:rPr>
          <w:rFonts w:ascii="黑体" w:hAnsi="黑体" w:eastAsia="黑体"/>
          <w:highlight w:val="none"/>
        </w:rPr>
      </w:pPr>
      <w:r>
        <w:rPr>
          <w:rFonts w:hint="eastAsia" w:ascii="黑体" w:hAnsi="黑体" w:eastAsia="黑体"/>
          <w:highlight w:val="none"/>
          <w:lang w:val="en-US" w:eastAsia="zh-CN"/>
        </w:rPr>
        <w:t>4</w:t>
      </w:r>
      <w:r>
        <w:rPr>
          <w:rFonts w:hint="eastAsia" w:ascii="黑体" w:hAnsi="黑体" w:eastAsia="黑体"/>
          <w:highlight w:val="none"/>
        </w:rPr>
        <w:t>.6.3</w:t>
      </w:r>
      <w:r>
        <w:rPr>
          <w:rFonts w:ascii="黑体" w:hAnsi="黑体" w:eastAsia="黑体"/>
          <w:highlight w:val="none"/>
        </w:rPr>
        <w:t xml:space="preserve"> </w:t>
      </w:r>
      <w:r>
        <w:rPr>
          <w:rFonts w:hint="eastAsia" w:ascii="黑体" w:hAnsi="黑体" w:eastAsia="黑体"/>
          <w:highlight w:val="none"/>
        </w:rPr>
        <w:t xml:space="preserve"> 翻压技术。</w:t>
      </w:r>
    </w:p>
    <w:p w14:paraId="0EAD2444">
      <w:pPr>
        <w:pStyle w:val="56"/>
        <w:spacing w:before="156" w:beforeLines="50" w:after="156" w:afterLines="50"/>
        <w:ind w:firstLine="0" w:firstLineChars="0"/>
        <w:outlineLvl w:val="2"/>
        <w:rPr>
          <w:rFonts w:ascii="黑体" w:hAnsi="黑体" w:eastAsia="黑体"/>
          <w:highlight w:val="none"/>
        </w:rPr>
      </w:pPr>
      <w:r>
        <w:rPr>
          <w:rFonts w:hint="eastAsia" w:ascii="黑体" w:hAnsi="黑体" w:eastAsia="黑体"/>
          <w:highlight w:val="none"/>
          <w:lang w:val="en-US" w:eastAsia="zh-CN"/>
        </w:rPr>
        <w:t>4</w:t>
      </w:r>
      <w:r>
        <w:rPr>
          <w:rFonts w:hint="eastAsia" w:ascii="黑体" w:hAnsi="黑体" w:eastAsia="黑体"/>
          <w:highlight w:val="none"/>
        </w:rPr>
        <w:t>.6.3.1</w:t>
      </w:r>
      <w:r>
        <w:rPr>
          <w:rFonts w:ascii="黑体" w:hAnsi="黑体" w:eastAsia="黑体"/>
          <w:highlight w:val="none"/>
        </w:rPr>
        <w:t xml:space="preserve">  适时翻压</w:t>
      </w:r>
    </w:p>
    <w:p w14:paraId="37C40372">
      <w:pPr>
        <w:pStyle w:val="56"/>
        <w:ind w:firstLine="420"/>
        <w:rPr>
          <w:highlight w:val="none"/>
        </w:rPr>
      </w:pPr>
      <w:r>
        <w:rPr>
          <w:highlight w:val="none"/>
        </w:rPr>
        <w:t>一般在蕾期至盛花期翻压。</w:t>
      </w:r>
    </w:p>
    <w:p w14:paraId="496E6812">
      <w:pPr>
        <w:pStyle w:val="56"/>
        <w:spacing w:before="156" w:beforeLines="50" w:after="156" w:afterLines="50"/>
        <w:ind w:firstLine="0" w:firstLineChars="0"/>
        <w:outlineLvl w:val="2"/>
        <w:rPr>
          <w:rFonts w:ascii="黑体" w:hAnsi="黑体" w:eastAsia="黑体"/>
          <w:highlight w:val="none"/>
        </w:rPr>
      </w:pPr>
      <w:r>
        <w:rPr>
          <w:rFonts w:hint="eastAsia" w:ascii="黑体" w:hAnsi="黑体" w:eastAsia="黑体"/>
          <w:highlight w:val="none"/>
          <w:lang w:val="en-US" w:eastAsia="zh-CN"/>
        </w:rPr>
        <w:t>4</w:t>
      </w:r>
      <w:r>
        <w:rPr>
          <w:rFonts w:hint="eastAsia" w:ascii="黑体" w:hAnsi="黑体" w:eastAsia="黑体"/>
          <w:highlight w:val="none"/>
        </w:rPr>
        <w:t>.6.3.2</w:t>
      </w:r>
      <w:r>
        <w:rPr>
          <w:rFonts w:ascii="黑体" w:hAnsi="黑体" w:eastAsia="黑体"/>
          <w:highlight w:val="none"/>
        </w:rPr>
        <w:t xml:space="preserve">  </w:t>
      </w:r>
      <w:r>
        <w:rPr>
          <w:rFonts w:hint="eastAsia" w:ascii="黑体" w:hAnsi="黑体" w:eastAsia="黑体"/>
          <w:highlight w:val="none"/>
        </w:rPr>
        <w:t>适当灌水</w:t>
      </w:r>
    </w:p>
    <w:p w14:paraId="40B8B7D0">
      <w:pPr>
        <w:pStyle w:val="56"/>
        <w:ind w:firstLine="420"/>
        <w:rPr>
          <w:rFonts w:hint="eastAsia"/>
          <w:highlight w:val="none"/>
        </w:rPr>
      </w:pPr>
      <w:r>
        <w:rPr>
          <w:highlight w:val="none"/>
        </w:rPr>
        <w:t>如果土壤干旱，适当灌水或雨</w:t>
      </w:r>
      <w:r>
        <w:rPr>
          <w:rFonts w:hint="eastAsia"/>
          <w:highlight w:val="none"/>
        </w:rPr>
        <w:t>前</w:t>
      </w:r>
      <w:r>
        <w:rPr>
          <w:highlight w:val="none"/>
        </w:rPr>
        <w:t>翻压</w:t>
      </w:r>
      <w:r>
        <w:rPr>
          <w:rFonts w:hint="eastAsia"/>
          <w:highlight w:val="none"/>
        </w:rPr>
        <w:t>。</w:t>
      </w:r>
    </w:p>
    <w:p w14:paraId="0AEF19A1">
      <w:pPr>
        <w:pStyle w:val="104"/>
        <w:numPr>
          <w:ilvl w:val="0"/>
          <w:numId w:val="0"/>
        </w:numPr>
        <w:spacing w:before="312" w:after="312"/>
        <w:rPr>
          <w:szCs w:val="21"/>
        </w:rPr>
      </w:pPr>
      <w:r>
        <w:rPr>
          <w:rFonts w:hint="eastAsia"/>
          <w:szCs w:val="21"/>
          <w:lang w:val="en-US" w:eastAsia="zh-CN"/>
        </w:rPr>
        <w:t xml:space="preserve">5 </w:t>
      </w:r>
      <w:r>
        <w:rPr>
          <w:rFonts w:hint="eastAsia"/>
          <w:szCs w:val="21"/>
        </w:rPr>
        <w:t>土壤改良指标</w:t>
      </w:r>
    </w:p>
    <w:p w14:paraId="02118DFA">
      <w:pPr>
        <w:pStyle w:val="56"/>
        <w:ind w:firstLine="420"/>
      </w:pPr>
      <w:r>
        <w:t>根据全国第二次土壤普查推荐的土壤</w:t>
      </w:r>
      <w:r>
        <w:rPr>
          <w:rFonts w:hint="eastAsia"/>
        </w:rPr>
        <w:t>地</w:t>
      </w:r>
      <w:r>
        <w:t>力分级标准，</w:t>
      </w:r>
      <w:r>
        <w:rPr>
          <w:rFonts w:hint="eastAsia"/>
        </w:rPr>
        <w:t>砂姜黑土</w:t>
      </w:r>
      <w:r>
        <w:t>改良指标应符合表1的要求</w:t>
      </w:r>
      <w:r>
        <w:rPr>
          <w:rFonts w:hint="eastAsia"/>
        </w:rPr>
        <w:t>。</w:t>
      </w:r>
    </w:p>
    <w:p w14:paraId="14B36E36">
      <w:pPr>
        <w:pStyle w:val="56"/>
        <w:ind w:firstLine="0" w:firstLineChars="0"/>
        <w:jc w:val="center"/>
      </w:pPr>
      <w:r>
        <w:rPr>
          <w:rFonts w:hint="eastAsia"/>
        </w:rPr>
        <w:t>表1 改良后耕层评价指标与阈值</w:t>
      </w:r>
    </w:p>
    <w:tbl>
      <w:tblPr>
        <w:tblStyle w:val="26"/>
        <w:tblW w:w="9336" w:type="dxa"/>
        <w:tblInd w:w="93" w:type="dxa"/>
        <w:tblLayout w:type="fixed"/>
        <w:tblCellMar>
          <w:top w:w="0" w:type="dxa"/>
          <w:left w:w="108" w:type="dxa"/>
          <w:bottom w:w="0" w:type="dxa"/>
          <w:right w:w="108" w:type="dxa"/>
        </w:tblCellMar>
      </w:tblPr>
      <w:tblGrid>
        <w:gridCol w:w="1803"/>
        <w:gridCol w:w="2898"/>
        <w:gridCol w:w="4635"/>
      </w:tblGrid>
      <w:tr w14:paraId="039D95AA">
        <w:tblPrEx>
          <w:tblCellMar>
            <w:top w:w="0" w:type="dxa"/>
            <w:left w:w="108" w:type="dxa"/>
            <w:bottom w:w="0" w:type="dxa"/>
            <w:right w:w="108" w:type="dxa"/>
          </w:tblCellMar>
        </w:tblPrEx>
        <w:trPr>
          <w:trHeight w:val="365" w:hRule="atLeast"/>
        </w:trPr>
        <w:tc>
          <w:tcPr>
            <w:tcW w:w="1803" w:type="dxa"/>
            <w:tcBorders>
              <w:top w:val="single" w:color="000000" w:sz="4" w:space="0"/>
              <w:left w:val="single" w:color="000000" w:sz="4" w:space="0"/>
              <w:bottom w:val="single" w:color="000000" w:sz="4" w:space="0"/>
              <w:right w:val="single" w:color="000000" w:sz="4" w:space="0"/>
            </w:tcBorders>
            <w:noWrap/>
            <w:vAlign w:val="center"/>
          </w:tcPr>
          <w:p w14:paraId="3EC72888">
            <w:pPr>
              <w:pStyle w:val="56"/>
              <w:ind w:firstLine="0" w:firstLineChars="0"/>
            </w:pPr>
            <w:r>
              <w:rPr>
                <w:rFonts w:hint="eastAsia"/>
              </w:rPr>
              <w:t>评价指标</w:t>
            </w:r>
          </w:p>
        </w:tc>
        <w:tc>
          <w:tcPr>
            <w:tcW w:w="2898" w:type="dxa"/>
            <w:tcBorders>
              <w:top w:val="single" w:color="000000" w:sz="4" w:space="0"/>
              <w:left w:val="single" w:color="000000" w:sz="4" w:space="0"/>
              <w:bottom w:val="single" w:color="000000" w:sz="4" w:space="0"/>
              <w:right w:val="single" w:color="000000" w:sz="4" w:space="0"/>
            </w:tcBorders>
            <w:noWrap/>
            <w:vAlign w:val="center"/>
          </w:tcPr>
          <w:p w14:paraId="43302AC4">
            <w:pPr>
              <w:pStyle w:val="56"/>
              <w:ind w:firstLine="0" w:firstLineChars="0"/>
            </w:pPr>
            <w:r>
              <w:rPr>
                <w:rFonts w:hint="eastAsia"/>
              </w:rPr>
              <w:t>阈值</w:t>
            </w:r>
          </w:p>
        </w:tc>
        <w:tc>
          <w:tcPr>
            <w:tcW w:w="4635" w:type="dxa"/>
            <w:tcBorders>
              <w:top w:val="single" w:color="000000" w:sz="4" w:space="0"/>
              <w:left w:val="single" w:color="000000" w:sz="4" w:space="0"/>
              <w:bottom w:val="single" w:color="000000" w:sz="4" w:space="0"/>
              <w:right w:val="single" w:color="000000" w:sz="4" w:space="0"/>
            </w:tcBorders>
            <w:noWrap/>
            <w:vAlign w:val="center"/>
          </w:tcPr>
          <w:p w14:paraId="5E4A2D0B">
            <w:pPr>
              <w:pStyle w:val="56"/>
              <w:ind w:firstLine="0" w:firstLineChars="0"/>
            </w:pPr>
            <w:r>
              <w:rPr>
                <w:rFonts w:hint="eastAsia"/>
              </w:rPr>
              <w:t>测定方法</w:t>
            </w:r>
          </w:p>
        </w:tc>
      </w:tr>
      <w:tr w14:paraId="659B56EB">
        <w:tblPrEx>
          <w:tblCellMar>
            <w:top w:w="0" w:type="dxa"/>
            <w:left w:w="108" w:type="dxa"/>
            <w:bottom w:w="0" w:type="dxa"/>
            <w:right w:w="108" w:type="dxa"/>
          </w:tblCellMar>
        </w:tblPrEx>
        <w:trPr>
          <w:trHeight w:val="504" w:hRule="atLeast"/>
        </w:trPr>
        <w:tc>
          <w:tcPr>
            <w:tcW w:w="1803" w:type="dxa"/>
            <w:tcBorders>
              <w:top w:val="single" w:color="000000" w:sz="4" w:space="0"/>
              <w:left w:val="single" w:color="000000" w:sz="4" w:space="0"/>
              <w:bottom w:val="single" w:color="000000" w:sz="4" w:space="0"/>
              <w:right w:val="single" w:color="000000" w:sz="4" w:space="0"/>
            </w:tcBorders>
            <w:noWrap/>
            <w:vAlign w:val="center"/>
          </w:tcPr>
          <w:p w14:paraId="26EE7209">
            <w:pPr>
              <w:pStyle w:val="56"/>
              <w:ind w:firstLine="0" w:firstLineChars="0"/>
            </w:pPr>
            <w:r>
              <w:rPr>
                <w:rFonts w:hint="eastAsia"/>
              </w:rPr>
              <w:t>土壤容重</w:t>
            </w:r>
          </w:p>
        </w:tc>
        <w:tc>
          <w:tcPr>
            <w:tcW w:w="2898" w:type="dxa"/>
            <w:tcBorders>
              <w:top w:val="single" w:color="000000" w:sz="4" w:space="0"/>
              <w:left w:val="single" w:color="000000" w:sz="4" w:space="0"/>
              <w:bottom w:val="single" w:color="000000" w:sz="4" w:space="0"/>
              <w:right w:val="single" w:color="000000" w:sz="4" w:space="0"/>
            </w:tcBorders>
            <w:noWrap/>
            <w:vAlign w:val="center"/>
          </w:tcPr>
          <w:p w14:paraId="53B08AD0">
            <w:pPr>
              <w:pStyle w:val="56"/>
              <w:ind w:firstLine="0" w:firstLineChars="0"/>
            </w:pPr>
            <w:r>
              <w:t>&lt;1.4g/</w:t>
            </w:r>
            <w:r>
              <w:rPr>
                <w:rFonts w:hint="eastAsia"/>
              </w:rPr>
              <w:t>c</w:t>
            </w:r>
            <w:r>
              <w:rPr>
                <w:rFonts w:hint="eastAsia" w:ascii="Segoe UI Symbol" w:hAnsi="Segoe UI Symbol" w:eastAsia="Segoe UI Symbol" w:cs="Segoe UI Symbol"/>
              </w:rPr>
              <w:t>㎥</w:t>
            </w:r>
          </w:p>
        </w:tc>
        <w:tc>
          <w:tcPr>
            <w:tcW w:w="4635" w:type="dxa"/>
            <w:tcBorders>
              <w:top w:val="single" w:color="000000" w:sz="4" w:space="0"/>
              <w:left w:val="single" w:color="000000" w:sz="4" w:space="0"/>
              <w:bottom w:val="single" w:color="000000" w:sz="4" w:space="0"/>
              <w:right w:val="single" w:color="000000" w:sz="4" w:space="0"/>
            </w:tcBorders>
            <w:noWrap/>
            <w:vAlign w:val="center"/>
          </w:tcPr>
          <w:p w14:paraId="34EE2CF7">
            <w:pPr>
              <w:pStyle w:val="56"/>
              <w:ind w:firstLine="0" w:firstLineChars="0"/>
            </w:pPr>
            <w:r>
              <w:t>按NY/T1121.4的规定执行</w:t>
            </w:r>
          </w:p>
        </w:tc>
      </w:tr>
      <w:tr w14:paraId="5607AECA">
        <w:tblPrEx>
          <w:tblCellMar>
            <w:top w:w="0" w:type="dxa"/>
            <w:left w:w="108" w:type="dxa"/>
            <w:bottom w:w="0" w:type="dxa"/>
            <w:right w:w="108" w:type="dxa"/>
          </w:tblCellMar>
        </w:tblPrEx>
        <w:trPr>
          <w:trHeight w:val="300" w:hRule="atLeast"/>
        </w:trPr>
        <w:tc>
          <w:tcPr>
            <w:tcW w:w="1803" w:type="dxa"/>
            <w:tcBorders>
              <w:top w:val="single" w:color="000000" w:sz="4" w:space="0"/>
              <w:left w:val="single" w:color="000000" w:sz="4" w:space="0"/>
              <w:bottom w:val="single" w:color="000000" w:sz="4" w:space="0"/>
              <w:right w:val="single" w:color="000000" w:sz="4" w:space="0"/>
            </w:tcBorders>
            <w:noWrap/>
            <w:vAlign w:val="center"/>
          </w:tcPr>
          <w:p w14:paraId="352858DC">
            <w:pPr>
              <w:pStyle w:val="56"/>
              <w:ind w:firstLine="0" w:firstLineChars="0"/>
            </w:pPr>
            <w:r>
              <w:rPr>
                <w:rFonts w:hint="eastAsia"/>
              </w:rPr>
              <w:t>有机质</w:t>
            </w:r>
          </w:p>
        </w:tc>
        <w:tc>
          <w:tcPr>
            <w:tcW w:w="2898" w:type="dxa"/>
            <w:tcBorders>
              <w:top w:val="single" w:color="000000" w:sz="4" w:space="0"/>
              <w:left w:val="single" w:color="000000" w:sz="4" w:space="0"/>
              <w:bottom w:val="single" w:color="000000" w:sz="4" w:space="0"/>
              <w:right w:val="single" w:color="000000" w:sz="4" w:space="0"/>
            </w:tcBorders>
            <w:noWrap/>
            <w:vAlign w:val="center"/>
          </w:tcPr>
          <w:p w14:paraId="56E4C77A">
            <w:pPr>
              <w:pStyle w:val="56"/>
              <w:ind w:firstLine="0" w:firstLineChars="0"/>
            </w:pPr>
            <w:r>
              <w:rPr>
                <w:rFonts w:hint="eastAsia"/>
              </w:rPr>
              <w:t>﹥25g/kg</w:t>
            </w:r>
          </w:p>
        </w:tc>
        <w:tc>
          <w:tcPr>
            <w:tcW w:w="4635" w:type="dxa"/>
            <w:tcBorders>
              <w:top w:val="single" w:color="000000" w:sz="4" w:space="0"/>
              <w:left w:val="single" w:color="000000" w:sz="4" w:space="0"/>
              <w:bottom w:val="single" w:color="000000" w:sz="4" w:space="0"/>
              <w:right w:val="single" w:color="000000" w:sz="4" w:space="0"/>
            </w:tcBorders>
            <w:noWrap/>
            <w:vAlign w:val="center"/>
          </w:tcPr>
          <w:p w14:paraId="4EE09735">
            <w:pPr>
              <w:pStyle w:val="56"/>
              <w:ind w:firstLine="0" w:firstLineChars="0"/>
            </w:pPr>
            <w:r>
              <w:rPr>
                <w:rFonts w:hint="eastAsia"/>
              </w:rPr>
              <w:t>按</w:t>
            </w:r>
            <w:r>
              <w:t>NY/T1121.6</w:t>
            </w:r>
            <w:r>
              <w:rPr>
                <w:rFonts w:hint="eastAsia"/>
              </w:rPr>
              <w:t>的规定执行</w:t>
            </w:r>
          </w:p>
        </w:tc>
      </w:tr>
      <w:tr w14:paraId="4F5BDF1A">
        <w:tblPrEx>
          <w:tblCellMar>
            <w:top w:w="0" w:type="dxa"/>
            <w:left w:w="108" w:type="dxa"/>
            <w:bottom w:w="0" w:type="dxa"/>
            <w:right w:w="108" w:type="dxa"/>
          </w:tblCellMar>
        </w:tblPrEx>
        <w:trPr>
          <w:trHeight w:val="300" w:hRule="atLeast"/>
        </w:trPr>
        <w:tc>
          <w:tcPr>
            <w:tcW w:w="1803" w:type="dxa"/>
            <w:tcBorders>
              <w:top w:val="single" w:color="000000" w:sz="4" w:space="0"/>
              <w:left w:val="single" w:color="000000" w:sz="4" w:space="0"/>
              <w:bottom w:val="single" w:color="000000" w:sz="4" w:space="0"/>
              <w:right w:val="single" w:color="000000" w:sz="4" w:space="0"/>
            </w:tcBorders>
            <w:noWrap/>
            <w:vAlign w:val="center"/>
          </w:tcPr>
          <w:p w14:paraId="67695ECA">
            <w:pPr>
              <w:pStyle w:val="56"/>
              <w:ind w:firstLine="0" w:firstLineChars="0"/>
            </w:pPr>
            <w:r>
              <w:rPr>
                <w:rFonts w:hint="eastAsia"/>
              </w:rPr>
              <w:t>速效氮</w:t>
            </w:r>
          </w:p>
        </w:tc>
        <w:tc>
          <w:tcPr>
            <w:tcW w:w="2898" w:type="dxa"/>
            <w:tcBorders>
              <w:top w:val="single" w:color="000000" w:sz="4" w:space="0"/>
              <w:left w:val="single" w:color="000000" w:sz="4" w:space="0"/>
              <w:bottom w:val="single" w:color="000000" w:sz="4" w:space="0"/>
              <w:right w:val="single" w:color="000000" w:sz="4" w:space="0"/>
            </w:tcBorders>
            <w:noWrap/>
            <w:vAlign w:val="center"/>
          </w:tcPr>
          <w:p w14:paraId="49670B4E">
            <w:pPr>
              <w:pStyle w:val="56"/>
              <w:ind w:firstLine="0" w:firstLineChars="0"/>
            </w:pPr>
            <w:r>
              <w:rPr>
                <w:rFonts w:hint="eastAsia"/>
              </w:rPr>
              <w:t>﹥110mg/kg</w:t>
            </w:r>
          </w:p>
        </w:tc>
        <w:tc>
          <w:tcPr>
            <w:tcW w:w="4635" w:type="dxa"/>
            <w:tcBorders>
              <w:top w:val="single" w:color="000000" w:sz="4" w:space="0"/>
              <w:left w:val="single" w:color="000000" w:sz="4" w:space="0"/>
              <w:bottom w:val="single" w:color="000000" w:sz="4" w:space="0"/>
              <w:right w:val="single" w:color="000000" w:sz="4" w:space="0"/>
            </w:tcBorders>
            <w:noWrap/>
            <w:vAlign w:val="center"/>
          </w:tcPr>
          <w:p w14:paraId="5CC76A0A">
            <w:pPr>
              <w:pStyle w:val="56"/>
              <w:ind w:firstLine="0" w:firstLineChars="0"/>
            </w:pPr>
            <w:r>
              <w:rPr>
                <w:rFonts w:hint="eastAsia"/>
              </w:rPr>
              <w:t>按</w:t>
            </w:r>
            <w:r>
              <w:t>NY/T53</w:t>
            </w:r>
            <w:r>
              <w:rPr>
                <w:rFonts w:hint="eastAsia"/>
              </w:rPr>
              <w:t>的规定执行</w:t>
            </w:r>
          </w:p>
        </w:tc>
      </w:tr>
      <w:tr w14:paraId="44E13C6F">
        <w:tblPrEx>
          <w:tblCellMar>
            <w:top w:w="0" w:type="dxa"/>
            <w:left w:w="108" w:type="dxa"/>
            <w:bottom w:w="0" w:type="dxa"/>
            <w:right w:w="108" w:type="dxa"/>
          </w:tblCellMar>
        </w:tblPrEx>
        <w:trPr>
          <w:trHeight w:val="300" w:hRule="atLeast"/>
        </w:trPr>
        <w:tc>
          <w:tcPr>
            <w:tcW w:w="1803" w:type="dxa"/>
            <w:tcBorders>
              <w:top w:val="single" w:color="000000" w:sz="4" w:space="0"/>
              <w:left w:val="single" w:color="000000" w:sz="4" w:space="0"/>
              <w:bottom w:val="single" w:color="000000" w:sz="4" w:space="0"/>
              <w:right w:val="single" w:color="000000" w:sz="4" w:space="0"/>
            </w:tcBorders>
            <w:noWrap/>
            <w:vAlign w:val="center"/>
          </w:tcPr>
          <w:p w14:paraId="54BE181A">
            <w:pPr>
              <w:pStyle w:val="56"/>
              <w:ind w:firstLine="0" w:firstLineChars="0"/>
            </w:pPr>
            <w:r>
              <w:rPr>
                <w:rFonts w:hint="eastAsia"/>
              </w:rPr>
              <w:t>有效磷</w:t>
            </w:r>
          </w:p>
        </w:tc>
        <w:tc>
          <w:tcPr>
            <w:tcW w:w="2898" w:type="dxa"/>
            <w:tcBorders>
              <w:top w:val="single" w:color="000000" w:sz="4" w:space="0"/>
              <w:left w:val="single" w:color="000000" w:sz="4" w:space="0"/>
              <w:bottom w:val="single" w:color="000000" w:sz="4" w:space="0"/>
              <w:right w:val="single" w:color="000000" w:sz="4" w:space="0"/>
            </w:tcBorders>
            <w:noWrap/>
            <w:vAlign w:val="center"/>
          </w:tcPr>
          <w:p w14:paraId="310669AD">
            <w:pPr>
              <w:pStyle w:val="56"/>
              <w:ind w:firstLine="0" w:firstLineChars="0"/>
            </w:pPr>
            <w:r>
              <w:rPr>
                <w:rFonts w:hint="eastAsia"/>
              </w:rPr>
              <w:t>﹥20mg/kg</w:t>
            </w:r>
          </w:p>
        </w:tc>
        <w:tc>
          <w:tcPr>
            <w:tcW w:w="4635" w:type="dxa"/>
            <w:tcBorders>
              <w:top w:val="single" w:color="000000" w:sz="4" w:space="0"/>
              <w:left w:val="single" w:color="000000" w:sz="4" w:space="0"/>
              <w:bottom w:val="single" w:color="000000" w:sz="4" w:space="0"/>
              <w:right w:val="single" w:color="000000" w:sz="4" w:space="0"/>
            </w:tcBorders>
            <w:noWrap/>
            <w:vAlign w:val="center"/>
          </w:tcPr>
          <w:p w14:paraId="19D38F00">
            <w:pPr>
              <w:pStyle w:val="56"/>
              <w:ind w:firstLine="0" w:firstLineChars="0"/>
            </w:pPr>
            <w:r>
              <w:rPr>
                <w:rFonts w:hint="eastAsia"/>
              </w:rPr>
              <w:t>按</w:t>
            </w:r>
            <w:r>
              <w:t>NY/T1121.25</w:t>
            </w:r>
            <w:r>
              <w:rPr>
                <w:rFonts w:hint="eastAsia"/>
              </w:rPr>
              <w:t>的规定执行</w:t>
            </w:r>
          </w:p>
        </w:tc>
      </w:tr>
      <w:tr w14:paraId="75E2CB95">
        <w:tblPrEx>
          <w:tblCellMar>
            <w:top w:w="0" w:type="dxa"/>
            <w:left w:w="108" w:type="dxa"/>
            <w:bottom w:w="0" w:type="dxa"/>
            <w:right w:w="108" w:type="dxa"/>
          </w:tblCellMar>
        </w:tblPrEx>
        <w:trPr>
          <w:trHeight w:val="300" w:hRule="atLeast"/>
        </w:trPr>
        <w:tc>
          <w:tcPr>
            <w:tcW w:w="1803" w:type="dxa"/>
            <w:tcBorders>
              <w:top w:val="single" w:color="000000" w:sz="4" w:space="0"/>
              <w:left w:val="single" w:color="000000" w:sz="4" w:space="0"/>
              <w:bottom w:val="single" w:color="000000" w:sz="4" w:space="0"/>
              <w:right w:val="single" w:color="000000" w:sz="4" w:space="0"/>
            </w:tcBorders>
            <w:noWrap/>
            <w:vAlign w:val="center"/>
          </w:tcPr>
          <w:p w14:paraId="7399A106">
            <w:pPr>
              <w:pStyle w:val="56"/>
              <w:ind w:firstLine="0" w:firstLineChars="0"/>
            </w:pPr>
            <w:r>
              <w:rPr>
                <w:rFonts w:hint="eastAsia"/>
              </w:rPr>
              <w:t>速效钾</w:t>
            </w:r>
          </w:p>
        </w:tc>
        <w:tc>
          <w:tcPr>
            <w:tcW w:w="2898" w:type="dxa"/>
            <w:tcBorders>
              <w:top w:val="single" w:color="000000" w:sz="4" w:space="0"/>
              <w:left w:val="single" w:color="000000" w:sz="4" w:space="0"/>
              <w:bottom w:val="single" w:color="000000" w:sz="4" w:space="0"/>
              <w:right w:val="single" w:color="000000" w:sz="4" w:space="0"/>
            </w:tcBorders>
            <w:noWrap/>
            <w:vAlign w:val="center"/>
          </w:tcPr>
          <w:p w14:paraId="0A9283F3">
            <w:pPr>
              <w:pStyle w:val="56"/>
              <w:ind w:firstLine="0" w:firstLineChars="0"/>
            </w:pPr>
            <w:r>
              <w:rPr>
                <w:rFonts w:hint="eastAsia"/>
              </w:rPr>
              <w:t>﹥165mg/kg</w:t>
            </w:r>
          </w:p>
        </w:tc>
        <w:tc>
          <w:tcPr>
            <w:tcW w:w="4635" w:type="dxa"/>
            <w:tcBorders>
              <w:top w:val="single" w:color="000000" w:sz="4" w:space="0"/>
              <w:left w:val="single" w:color="000000" w:sz="4" w:space="0"/>
              <w:bottom w:val="single" w:color="000000" w:sz="4" w:space="0"/>
              <w:right w:val="single" w:color="000000" w:sz="4" w:space="0"/>
            </w:tcBorders>
            <w:noWrap/>
            <w:vAlign w:val="center"/>
          </w:tcPr>
          <w:p w14:paraId="775C693F">
            <w:pPr>
              <w:pStyle w:val="56"/>
              <w:ind w:firstLine="0" w:firstLineChars="0"/>
            </w:pPr>
            <w:r>
              <w:rPr>
                <w:rFonts w:hint="eastAsia"/>
              </w:rPr>
              <w:t>按</w:t>
            </w:r>
            <w:r>
              <w:t>NY/T889</w:t>
            </w:r>
            <w:r>
              <w:rPr>
                <w:rFonts w:hint="eastAsia"/>
              </w:rPr>
              <w:t>的规定执行</w:t>
            </w:r>
          </w:p>
        </w:tc>
      </w:tr>
      <w:tr w14:paraId="39F839BE">
        <w:tblPrEx>
          <w:tblCellMar>
            <w:top w:w="0" w:type="dxa"/>
            <w:left w:w="108" w:type="dxa"/>
            <w:bottom w:w="0" w:type="dxa"/>
            <w:right w:w="108" w:type="dxa"/>
          </w:tblCellMar>
        </w:tblPrEx>
        <w:trPr>
          <w:trHeight w:val="300" w:hRule="atLeast"/>
        </w:trPr>
        <w:tc>
          <w:tcPr>
            <w:tcW w:w="1803" w:type="dxa"/>
            <w:tcBorders>
              <w:top w:val="single" w:color="000000" w:sz="4" w:space="0"/>
              <w:left w:val="single" w:color="000000" w:sz="4" w:space="0"/>
              <w:bottom w:val="single" w:color="000000" w:sz="4" w:space="0"/>
              <w:right w:val="single" w:color="000000" w:sz="4" w:space="0"/>
            </w:tcBorders>
            <w:noWrap/>
            <w:vAlign w:val="center"/>
          </w:tcPr>
          <w:p w14:paraId="0ED32513">
            <w:pPr>
              <w:pStyle w:val="56"/>
              <w:ind w:firstLine="0" w:firstLineChars="0"/>
            </w:pPr>
            <w:r>
              <w:rPr>
                <w:rFonts w:hint="eastAsia"/>
              </w:rPr>
              <w:t>PH值</w:t>
            </w:r>
          </w:p>
        </w:tc>
        <w:tc>
          <w:tcPr>
            <w:tcW w:w="2898" w:type="dxa"/>
            <w:tcBorders>
              <w:top w:val="single" w:color="000000" w:sz="4" w:space="0"/>
              <w:left w:val="single" w:color="000000" w:sz="4" w:space="0"/>
              <w:bottom w:val="single" w:color="000000" w:sz="4" w:space="0"/>
              <w:right w:val="single" w:color="000000" w:sz="4" w:space="0"/>
            </w:tcBorders>
            <w:noWrap/>
            <w:vAlign w:val="center"/>
          </w:tcPr>
          <w:p w14:paraId="1A4FFF35">
            <w:pPr>
              <w:pStyle w:val="56"/>
              <w:ind w:firstLine="0" w:firstLineChars="0"/>
            </w:pPr>
            <w:r>
              <w:rPr>
                <w:rFonts w:hint="eastAsia"/>
              </w:rPr>
              <w:t>5.8-7.8</w:t>
            </w:r>
          </w:p>
        </w:tc>
        <w:tc>
          <w:tcPr>
            <w:tcW w:w="4635" w:type="dxa"/>
            <w:tcBorders>
              <w:top w:val="single" w:color="000000" w:sz="4" w:space="0"/>
              <w:left w:val="single" w:color="000000" w:sz="4" w:space="0"/>
              <w:bottom w:val="single" w:color="000000" w:sz="4" w:space="0"/>
              <w:right w:val="single" w:color="000000" w:sz="4" w:space="0"/>
            </w:tcBorders>
            <w:noWrap/>
            <w:vAlign w:val="center"/>
          </w:tcPr>
          <w:p w14:paraId="147C06C8">
            <w:pPr>
              <w:pStyle w:val="56"/>
              <w:ind w:firstLine="0" w:firstLineChars="0"/>
            </w:pPr>
            <w:r>
              <w:rPr>
                <w:rFonts w:hint="eastAsia"/>
              </w:rPr>
              <w:t>按</w:t>
            </w:r>
            <w:r>
              <w:t>NY/T1377</w:t>
            </w:r>
            <w:r>
              <w:rPr>
                <w:rFonts w:hint="eastAsia"/>
              </w:rPr>
              <w:t>的规定执行</w:t>
            </w:r>
          </w:p>
        </w:tc>
      </w:tr>
    </w:tbl>
    <w:p w14:paraId="1D2C2672">
      <w:pPr>
        <w:pStyle w:val="56"/>
        <w:ind w:firstLine="0" w:firstLineChars="0"/>
        <w:jc w:val="center"/>
      </w:pPr>
      <w:r>
        <w:drawing>
          <wp:inline distT="0" distB="0" distL="0" distR="0">
            <wp:extent cx="1485900" cy="317500"/>
            <wp:effectExtent l="0" t="0" r="0" b="6350"/>
            <wp:docPr id="177634201" name="图片 1"/>
            <wp:cNvGraphicFramePr/>
            <a:graphic xmlns:a="http://schemas.openxmlformats.org/drawingml/2006/main">
              <a:graphicData uri="http://schemas.openxmlformats.org/drawingml/2006/picture">
                <pic:pic xmlns:pic="http://schemas.openxmlformats.org/drawingml/2006/picture">
                  <pic:nvPicPr>
                    <pic:cNvPr id="17763420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Guli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7798">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AA4AE">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088A1">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3B07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C55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39568">
    <w:pPr>
      <w:pStyle w:val="61"/>
    </w:pPr>
    <w:r>
      <w:fldChar w:fldCharType="begin"/>
    </w:r>
    <w:r>
      <w:instrText xml:space="preserve"> STYLEREF  标准文件_文件编号  \* MERGEFORMAT </w:instrText>
    </w:r>
    <w:r>
      <w:fldChar w:fldCharType="separate"/>
    </w:r>
    <w:r>
      <w:t>DB 4113/T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EC398">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426"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attachedTemplate r:id="rId1"/>
  <w:documentProtection w:edit="forms" w:enforcement="1" w:cryptProviderType="rsaAES" w:cryptAlgorithmClass="hash" w:cryptAlgorithmType="typeAny" w:cryptAlgorithmSid="14" w:cryptSpinCount="100000" w:hash="o9eBQ7O/z2ZWlTf+m3ywNEWhO7N9fqlAGJIQc/J1xWcLBoHdjdOworCAww8a58j83YnJwIhfkyFC43jKrbwGLg==" w:salt="CJ5HEpiMf1FEqnad2eYez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0A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05B"/>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57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632C"/>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266"/>
    <w:rsid w:val="0026148A"/>
    <w:rsid w:val="00262696"/>
    <w:rsid w:val="00263D25"/>
    <w:rsid w:val="002643C3"/>
    <w:rsid w:val="00264A0C"/>
    <w:rsid w:val="00266EEB"/>
    <w:rsid w:val="00267EF4"/>
    <w:rsid w:val="002707FC"/>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BA5"/>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49F"/>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9F1"/>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3E1"/>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759"/>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23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9E9"/>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905"/>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E19"/>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004"/>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D49"/>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D9C"/>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AC4"/>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3BA2"/>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B12"/>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D70"/>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AC"/>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61E52FC"/>
    <w:rsid w:val="26075EC2"/>
    <w:rsid w:val="3FE7034D"/>
    <w:rsid w:val="40FC1842"/>
    <w:rsid w:val="5F4F3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8207E99AF564D79AD432858DCE58CFE"/>
        <w:style w:val=""/>
        <w:category>
          <w:name w:val="常规"/>
          <w:gallery w:val="placeholder"/>
        </w:category>
        <w:types>
          <w:type w:val="bbPlcHdr"/>
        </w:types>
        <w:behaviors>
          <w:behavior w:val="content"/>
        </w:behaviors>
        <w:description w:val=""/>
        <w:guid w:val="{7DCF8A28-4BB6-4B19-8066-59BBA00097E9}"/>
      </w:docPartPr>
      <w:docPartBody>
        <w:p w14:paraId="4EFF6FC2">
          <w:pPr>
            <w:pStyle w:val="5"/>
          </w:pPr>
          <w:r>
            <w:rPr>
              <w:rStyle w:val="4"/>
              <w:rFonts w:hint="eastAsia"/>
            </w:rPr>
            <w:t>单击或点击此处输入文字。</w:t>
          </w:r>
        </w:p>
      </w:docPartBody>
    </w:docPart>
    <w:docPart>
      <w:docPartPr>
        <w:name w:val="8D02658FCB1244B591B5A83527E30FAD"/>
        <w:style w:val=""/>
        <w:category>
          <w:name w:val="常规"/>
          <w:gallery w:val="placeholder"/>
        </w:category>
        <w:types>
          <w:type w:val="bbPlcHdr"/>
        </w:types>
        <w:behaviors>
          <w:behavior w:val="content"/>
        </w:behaviors>
        <w:description w:val=""/>
        <w:guid w:val="{76C051C0-EFE5-4667-B94B-F4762A2A8D51}"/>
      </w:docPartPr>
      <w:docPartBody>
        <w:p w14:paraId="0EB80000">
          <w:pPr>
            <w:pStyle w:val="6"/>
          </w:pPr>
          <w:r>
            <w:rPr>
              <w:rStyle w:val="4"/>
              <w:rFonts w:hint="eastAsia"/>
            </w:rPr>
            <w:t>选择一项。</w:t>
          </w:r>
        </w:p>
      </w:docPartBody>
    </w:docPart>
    <w:docPart>
      <w:docPartPr>
        <w:name w:val="6E8A5678FB2D44C884636A50CF2780CA"/>
        <w:style w:val=""/>
        <w:category>
          <w:name w:val="常规"/>
          <w:gallery w:val="placeholder"/>
        </w:category>
        <w:types>
          <w:type w:val="bbPlcHdr"/>
        </w:types>
        <w:behaviors>
          <w:behavior w:val="content"/>
        </w:behaviors>
        <w:description w:val=""/>
        <w:guid w:val="{E3816F5C-351C-4B50-89AC-4053F5D0BB27}"/>
      </w:docPartPr>
      <w:docPartBody>
        <w:p w14:paraId="23D3B21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D1A"/>
    <w:rsid w:val="00093E0A"/>
    <w:rsid w:val="0050484B"/>
    <w:rsid w:val="005A73E1"/>
    <w:rsid w:val="006E4A42"/>
    <w:rsid w:val="007F5DCE"/>
    <w:rsid w:val="00A417BE"/>
    <w:rsid w:val="00D90463"/>
    <w:rsid w:val="00DF7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8207E99AF564D79AD432858DCE58C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02658FCB1244B591B5A83527E30FA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E8A5678FB2D44C884636A50CF2780CA"/>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60999A8096794B84AD284FEF149099F2"/>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D2F362-71FC-4BF3-8C92-62229C9E0CD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2955</Words>
  <Characters>3509</Characters>
  <Lines>30</Lines>
  <Paragraphs>8</Paragraphs>
  <TotalTime>7</TotalTime>
  <ScaleCrop>false</ScaleCrop>
  <LinksUpToDate>false</LinksUpToDate>
  <CharactersWithSpaces>3633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2023-06-27T02:44:00Z</dcterms:created>
  <dc:creator>lenovo</dc:creator>
  <dc:description>&lt;config cover="true" show_menu="true" version="1.0.0" doctype="SDKXY"&gt;_x000d_
&lt;/config&gt;</dc:description>
  <cp:lastModifiedBy>李鑫</cp:lastModifiedBy>
  <cp:lastPrinted>2020-08-30T10:00:00Z</cp:lastPrinted>
  <dcterms:modified xsi:type="dcterms:W3CDTF">2025-06-17T08:05:35Z</dcterms:modified>
  <dc:title>地方标准</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eyJoZGlkIjoiZTBjNGY3MTg2ZWQyZDAyOGU0MDUxMDE2NjNkNDQzZDQiLCJ1c2VySWQiOiIyNTkwOTMyMTUifQ==</vt:lpwstr>
  </property>
  <property fmtid="{D5CDD505-2E9C-101B-9397-08002B2CF9AE}" pid="15" name="KSOProductBuildVer">
    <vt:lpwstr>2052-12.1.0.21541</vt:lpwstr>
  </property>
  <property fmtid="{D5CDD505-2E9C-101B-9397-08002B2CF9AE}" pid="16" name="ICV">
    <vt:lpwstr>59F4B66E4281493FB1A7D771968FA8A6_12</vt:lpwstr>
  </property>
</Properties>
</file>