
<file path=[Content_Types].xml><?xml version="1.0" encoding="utf-8"?>
<Types xmlns="http://schemas.openxmlformats.org/package/2006/content-types">
  <Default Extension="xml" ContentType="application/xml"/>
  <Default Extension="wmf" ContentType="image/x-wmf"/>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AC88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18021525">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5F49EDE2">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14:paraId="745BD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D3AA80A">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7A38D324">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3C6A28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11BE9075">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4113</w:t>
            </w:r>
            <w:r>
              <w:fldChar w:fldCharType="end"/>
            </w:r>
            <w:bookmarkEnd w:id="3"/>
          </w:p>
        </w:tc>
      </w:tr>
    </w:tbl>
    <w:p w14:paraId="6D50CA63">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南阳市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40855D71">
      <w:pPr>
        <w:pStyle w:val="196"/>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5C28DD7">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1102679A">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2051"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v:path arrowok="t"/>
            <v:fill focussize="0,0"/>
            <v:stroke/>
            <v:imagedata o:title=""/>
            <o:lock v:ext="edit"/>
          </v:line>
        </w:pict>
      </w:r>
    </w:p>
    <w:p w14:paraId="489AB741">
      <w:pPr>
        <w:pStyle w:val="51"/>
        <w:framePr w:w="9639" w:h="6976" w:hRule="exact" w:hSpace="0" w:vSpace="0" w:wrap="around" w:hAnchor="page" w:y="6408"/>
        <w:jc w:val="center"/>
        <w:rPr>
          <w:rFonts w:ascii="黑体" w:hAnsi="黑体" w:eastAsia="黑体"/>
          <w:b w:val="0"/>
          <w:bCs w:val="0"/>
          <w:w w:val="100"/>
        </w:rPr>
      </w:pPr>
    </w:p>
    <w:p w14:paraId="1042684A">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蚕豆栽培技术规程</w:t>
      </w:r>
      <w:r>
        <w:fldChar w:fldCharType="end"/>
      </w:r>
      <w:bookmarkEnd w:id="9"/>
    </w:p>
    <w:p w14:paraId="10FE4E07">
      <w:pPr>
        <w:framePr w:w="9639" w:h="6974" w:hRule="exact" w:wrap="around" w:vAnchor="page" w:hAnchor="page" w:x="1419" w:y="6408" w:anchorLock="1"/>
        <w:ind w:left="-1418"/>
      </w:pPr>
    </w:p>
    <w:p w14:paraId="54B42396">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10"/>
    </w:p>
    <w:p w14:paraId="4FB07B92">
      <w:pPr>
        <w:framePr w:w="9639" w:h="6974" w:hRule="exact" w:wrap="around" w:vAnchor="page" w:hAnchor="page" w:x="1419" w:y="6408" w:anchorLock="1"/>
        <w:spacing w:line="760" w:lineRule="exact"/>
        <w:ind w:left="-1418"/>
      </w:pPr>
    </w:p>
    <w:p w14:paraId="13F27D6D">
      <w:pPr>
        <w:pStyle w:val="126"/>
        <w:framePr w:w="9639" w:h="6974" w:hRule="exact" w:wrap="around" w:vAnchor="page" w:hAnchor="page" w:x="1419" w:y="6408" w:anchorLock="1"/>
        <w:textAlignment w:val="bottom"/>
        <w:rPr>
          <w:rFonts w:eastAsia="黑体"/>
          <w:szCs w:val="28"/>
        </w:rPr>
      </w:pPr>
    </w:p>
    <w:p w14:paraId="4133ADB9">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6929658">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3BB2F296">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3D142D2">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4FCCD38">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07D2290">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196004A9">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2050"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v:path arrowok="t"/>
            <v:fill focussize="0,0"/>
            <v:stroke/>
            <v:imagedata o:title=""/>
            <o:lock v:ext="edit"/>
            <w10:anchorlock/>
          </v:line>
        </w:pict>
      </w:r>
    </w:p>
    <w:p w14:paraId="09BDD72F">
      <w:pPr>
        <w:pStyle w:val="92"/>
        <w:spacing w:after="468"/>
        <w:rPr>
          <w:rFonts w:hint="eastAsia"/>
        </w:rPr>
      </w:pPr>
      <w:bookmarkStart w:id="21" w:name="BookMark1"/>
      <w:r>
        <w:rPr>
          <w:rFonts w:hint="eastAsia"/>
          <w:spacing w:val="320"/>
        </w:rPr>
        <w:t>目</w:t>
      </w:r>
      <w:r>
        <w:rPr>
          <w:rFonts w:hint="eastAsia"/>
        </w:rPr>
        <w:t>次</w:t>
      </w:r>
    </w:p>
    <w:p w14:paraId="4CDED73F">
      <w:pPr>
        <w:pStyle w:val="20"/>
        <w:tabs>
          <w:tab w:val="right" w:leader="dot" w:pos="9354"/>
        </w:tabs>
      </w:pPr>
      <w:r>
        <w:fldChar w:fldCharType="begin"/>
      </w:r>
      <w:r>
        <w:instrText xml:space="preserve"> </w:instrText>
      </w:r>
      <w:r>
        <w:rPr>
          <w:rFonts w:hint="eastAsia"/>
        </w:rPr>
        <w:instrText xml:space="preserve">TOC \o "1-1" \h \t "标准文件_一级条标题,2,标准文件_附录一级条标题,2,"</w:instrText>
      </w:r>
      <w:r>
        <w:instrText xml:space="preserve"> </w:instrText>
      </w:r>
      <w:r>
        <w:fldChar w:fldCharType="separate"/>
      </w:r>
      <w:r>
        <w:fldChar w:fldCharType="begin"/>
      </w:r>
      <w:r>
        <w:instrText xml:space="preserve"> HYPERLINK \l _Toc17672 </w:instrText>
      </w:r>
      <w:r>
        <w:fldChar w:fldCharType="separate"/>
      </w:r>
      <w:r>
        <w:rPr>
          <w:spacing w:val="320"/>
        </w:rPr>
        <w:t>前</w:t>
      </w:r>
      <w:r>
        <w:t>言</w:t>
      </w:r>
      <w:r>
        <w:tab/>
      </w:r>
      <w:r>
        <w:fldChar w:fldCharType="begin"/>
      </w:r>
      <w:r>
        <w:instrText xml:space="preserve"> PAGEREF _Toc17672 \h </w:instrText>
      </w:r>
      <w:r>
        <w:fldChar w:fldCharType="separate"/>
      </w:r>
      <w:r>
        <w:t>III</w:t>
      </w:r>
      <w:r>
        <w:fldChar w:fldCharType="end"/>
      </w:r>
      <w:r>
        <w:fldChar w:fldCharType="end"/>
      </w:r>
    </w:p>
    <w:p w14:paraId="25C0545F">
      <w:pPr>
        <w:pStyle w:val="20"/>
        <w:tabs>
          <w:tab w:val="right" w:leader="dot" w:pos="9354"/>
        </w:tabs>
      </w:pPr>
      <w:r>
        <w:fldChar w:fldCharType="begin"/>
      </w:r>
      <w:r>
        <w:instrText xml:space="preserve"> HYPERLINK \l _Toc27343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_Toc27343 \h </w:instrText>
      </w:r>
      <w:r>
        <w:fldChar w:fldCharType="separate"/>
      </w:r>
      <w:r>
        <w:t>1</w:t>
      </w:r>
      <w:r>
        <w:fldChar w:fldCharType="end"/>
      </w:r>
      <w:r>
        <w:fldChar w:fldCharType="end"/>
      </w:r>
    </w:p>
    <w:p w14:paraId="226B2113">
      <w:pPr>
        <w:pStyle w:val="20"/>
        <w:tabs>
          <w:tab w:val="right" w:leader="dot" w:pos="9354"/>
        </w:tabs>
      </w:pPr>
      <w:r>
        <w:fldChar w:fldCharType="begin"/>
      </w:r>
      <w:r>
        <w:instrText xml:space="preserve"> HYPERLINK \l _Toc3205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_Toc3205 \h </w:instrText>
      </w:r>
      <w:r>
        <w:fldChar w:fldCharType="separate"/>
      </w:r>
      <w:r>
        <w:t>1</w:t>
      </w:r>
      <w:r>
        <w:fldChar w:fldCharType="end"/>
      </w:r>
      <w:r>
        <w:fldChar w:fldCharType="end"/>
      </w:r>
    </w:p>
    <w:p w14:paraId="07345346">
      <w:pPr>
        <w:pStyle w:val="20"/>
        <w:tabs>
          <w:tab w:val="right" w:leader="dot" w:pos="9354"/>
        </w:tabs>
      </w:pPr>
      <w:r>
        <w:fldChar w:fldCharType="begin"/>
      </w:r>
      <w:r>
        <w:instrText xml:space="preserve"> HYPERLINK \l _Toc27122 </w:instrText>
      </w:r>
      <w:r>
        <w:fldChar w:fldCharType="separate"/>
      </w:r>
      <w:r>
        <w:rPr>
          <w:rFonts w:hint="eastAsia" w:ascii="黑体" w:eastAsia="黑体"/>
          <w:i w:val="0"/>
        </w:rPr>
        <w:t xml:space="preserve">3 </w:t>
      </w:r>
      <w:r>
        <w:rPr>
          <w:rFonts w:hint="eastAsia"/>
          <w:szCs w:val="21"/>
        </w:rPr>
        <w:t>术语和定义</w:t>
      </w:r>
      <w:r>
        <w:tab/>
      </w:r>
      <w:r>
        <w:fldChar w:fldCharType="begin"/>
      </w:r>
      <w:r>
        <w:instrText xml:space="preserve"> PAGEREF _Toc27122 \h </w:instrText>
      </w:r>
      <w:r>
        <w:fldChar w:fldCharType="separate"/>
      </w:r>
      <w:r>
        <w:t>1</w:t>
      </w:r>
      <w:r>
        <w:fldChar w:fldCharType="end"/>
      </w:r>
      <w:r>
        <w:fldChar w:fldCharType="end"/>
      </w:r>
    </w:p>
    <w:p w14:paraId="239F7599">
      <w:pPr>
        <w:pStyle w:val="20"/>
        <w:tabs>
          <w:tab w:val="right" w:leader="dot" w:pos="9354"/>
        </w:tabs>
      </w:pPr>
      <w:r>
        <w:fldChar w:fldCharType="begin"/>
      </w:r>
      <w:r>
        <w:instrText xml:space="preserve"> HYPERLINK \l _Toc22256 </w:instrText>
      </w:r>
      <w:r>
        <w:fldChar w:fldCharType="separate"/>
      </w:r>
      <w:r>
        <w:rPr>
          <w:rFonts w:hint="eastAsia" w:ascii="黑体" w:eastAsia="黑体"/>
          <w:i w:val="0"/>
        </w:rPr>
        <w:t xml:space="preserve">4 </w:t>
      </w:r>
      <w:r>
        <w:rPr>
          <w:rFonts w:hint="eastAsia"/>
        </w:rPr>
        <w:t>产地环境</w:t>
      </w:r>
      <w:r>
        <w:rPr>
          <w:rFonts w:hint="eastAsia"/>
          <w:lang w:val="en-US" w:eastAsia="zh-CN"/>
        </w:rPr>
        <w:t>要求</w:t>
      </w:r>
      <w:r>
        <w:tab/>
      </w:r>
      <w:r>
        <w:fldChar w:fldCharType="begin"/>
      </w:r>
      <w:r>
        <w:instrText xml:space="preserve"> PAGEREF _Toc22256 \h </w:instrText>
      </w:r>
      <w:r>
        <w:fldChar w:fldCharType="separate"/>
      </w:r>
      <w:r>
        <w:t>1</w:t>
      </w:r>
      <w:r>
        <w:fldChar w:fldCharType="end"/>
      </w:r>
      <w:r>
        <w:fldChar w:fldCharType="end"/>
      </w:r>
    </w:p>
    <w:p w14:paraId="12A64B2B">
      <w:pPr>
        <w:pStyle w:val="20"/>
        <w:tabs>
          <w:tab w:val="right" w:leader="dot" w:pos="9354"/>
        </w:tabs>
      </w:pPr>
      <w:r>
        <w:fldChar w:fldCharType="begin"/>
      </w:r>
      <w:r>
        <w:instrText xml:space="preserve"> HYPERLINK \l _Toc22870 </w:instrText>
      </w:r>
      <w:r>
        <w:fldChar w:fldCharType="separate"/>
      </w:r>
      <w:r>
        <w:rPr>
          <w:rFonts w:hint="eastAsia" w:ascii="黑体" w:eastAsia="黑体"/>
          <w:i w:val="0"/>
        </w:rPr>
        <w:t xml:space="preserve">5 </w:t>
      </w:r>
      <w:r>
        <w:rPr>
          <w:rFonts w:hint="eastAsia"/>
          <w:lang w:val="en-US" w:eastAsia="zh-CN"/>
        </w:rPr>
        <w:t>播前准备</w:t>
      </w:r>
      <w:r>
        <w:tab/>
      </w:r>
      <w:r>
        <w:fldChar w:fldCharType="begin"/>
      </w:r>
      <w:r>
        <w:instrText xml:space="preserve"> PAGEREF _Toc22870 \h </w:instrText>
      </w:r>
      <w:r>
        <w:fldChar w:fldCharType="separate"/>
      </w:r>
      <w:r>
        <w:t>1</w:t>
      </w:r>
      <w:r>
        <w:fldChar w:fldCharType="end"/>
      </w:r>
      <w:r>
        <w:fldChar w:fldCharType="end"/>
      </w:r>
    </w:p>
    <w:p w14:paraId="45E5F140">
      <w:pPr>
        <w:pStyle w:val="25"/>
        <w:tabs>
          <w:tab w:val="right" w:leader="dot" w:pos="9354"/>
          <w:tab w:val="clear" w:pos="9344"/>
        </w:tabs>
      </w:pPr>
      <w:r>
        <w:fldChar w:fldCharType="begin"/>
      </w:r>
      <w:r>
        <w:instrText xml:space="preserve"> HYPERLINK \l _Toc10862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5.1 </w:t>
      </w:r>
      <w:r>
        <w:rPr>
          <w:rFonts w:hint="eastAsia"/>
          <w:lang w:val="en-US" w:eastAsia="zh-CN"/>
        </w:rPr>
        <w:t>品种选择</w:t>
      </w:r>
      <w:r>
        <w:tab/>
      </w:r>
      <w:r>
        <w:fldChar w:fldCharType="begin"/>
      </w:r>
      <w:r>
        <w:instrText xml:space="preserve"> PAGEREF _Toc10862 \h </w:instrText>
      </w:r>
      <w:r>
        <w:fldChar w:fldCharType="separate"/>
      </w:r>
      <w:r>
        <w:t>1</w:t>
      </w:r>
      <w:r>
        <w:fldChar w:fldCharType="end"/>
      </w:r>
      <w:r>
        <w:fldChar w:fldCharType="end"/>
      </w:r>
    </w:p>
    <w:p w14:paraId="5FE2B97F">
      <w:pPr>
        <w:pStyle w:val="25"/>
        <w:tabs>
          <w:tab w:val="right" w:leader="dot" w:pos="9354"/>
          <w:tab w:val="clear" w:pos="9344"/>
        </w:tabs>
      </w:pPr>
      <w:r>
        <w:fldChar w:fldCharType="begin"/>
      </w:r>
      <w:r>
        <w:instrText xml:space="preserve"> HYPERLINK \l _Toc20732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rPr>
        <w:t xml:space="preserve">5.2 </w:t>
      </w:r>
      <w:r>
        <w:rPr>
          <w:rFonts w:hint="eastAsia"/>
          <w:lang w:val="en-US" w:eastAsia="zh-CN"/>
        </w:rPr>
        <w:t>种子处理</w:t>
      </w:r>
      <w:r>
        <w:tab/>
      </w:r>
      <w:r>
        <w:fldChar w:fldCharType="begin"/>
      </w:r>
      <w:r>
        <w:instrText xml:space="preserve"> PAGEREF _Toc20732 \h </w:instrText>
      </w:r>
      <w:r>
        <w:fldChar w:fldCharType="separate"/>
      </w:r>
      <w:r>
        <w:t>1</w:t>
      </w:r>
      <w:r>
        <w:fldChar w:fldCharType="end"/>
      </w:r>
      <w:r>
        <w:fldChar w:fldCharType="end"/>
      </w:r>
    </w:p>
    <w:p w14:paraId="76936AB5">
      <w:pPr>
        <w:pStyle w:val="25"/>
        <w:tabs>
          <w:tab w:val="right" w:leader="dot" w:pos="9354"/>
          <w:tab w:val="clear" w:pos="9344"/>
        </w:tabs>
      </w:pPr>
      <w:r>
        <w:fldChar w:fldCharType="begin"/>
      </w:r>
      <w:r>
        <w:instrText xml:space="preserve"> HYPERLINK \l _Toc26561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5.3 </w:t>
      </w:r>
      <w:r>
        <w:rPr>
          <w:rFonts w:hint="eastAsia"/>
          <w:lang w:val="en-US" w:eastAsia="zh-CN"/>
        </w:rPr>
        <w:t>整地</w:t>
      </w:r>
      <w:r>
        <w:tab/>
      </w:r>
      <w:r>
        <w:fldChar w:fldCharType="begin"/>
      </w:r>
      <w:r>
        <w:instrText xml:space="preserve"> PAGEREF _Toc26561 \h </w:instrText>
      </w:r>
      <w:r>
        <w:fldChar w:fldCharType="separate"/>
      </w:r>
      <w:r>
        <w:t>2</w:t>
      </w:r>
      <w:r>
        <w:fldChar w:fldCharType="end"/>
      </w:r>
      <w:r>
        <w:fldChar w:fldCharType="end"/>
      </w:r>
    </w:p>
    <w:p w14:paraId="51D5BCE2">
      <w:pPr>
        <w:pStyle w:val="20"/>
        <w:tabs>
          <w:tab w:val="right" w:leader="dot" w:pos="9354"/>
        </w:tabs>
      </w:pPr>
      <w:r>
        <w:fldChar w:fldCharType="begin"/>
      </w:r>
      <w:r>
        <w:instrText xml:space="preserve"> HYPERLINK \l _Toc15441 </w:instrText>
      </w:r>
      <w:r>
        <w:fldChar w:fldCharType="separate"/>
      </w:r>
      <w:r>
        <w:rPr>
          <w:rFonts w:hint="eastAsia" w:ascii="黑体" w:eastAsia="黑体"/>
          <w:i w:val="0"/>
          <w:lang w:val="en-US" w:eastAsia="zh-CN"/>
        </w:rPr>
        <w:t xml:space="preserve">6 </w:t>
      </w:r>
      <w:r>
        <w:rPr>
          <w:rFonts w:hint="eastAsia"/>
          <w:lang w:val="en-US" w:eastAsia="zh-CN"/>
        </w:rPr>
        <w:t>播种</w:t>
      </w:r>
      <w:r>
        <w:tab/>
      </w:r>
      <w:r>
        <w:fldChar w:fldCharType="begin"/>
      </w:r>
      <w:r>
        <w:instrText xml:space="preserve"> PAGEREF _Toc15441 \h </w:instrText>
      </w:r>
      <w:r>
        <w:fldChar w:fldCharType="separate"/>
      </w:r>
      <w:r>
        <w:t>2</w:t>
      </w:r>
      <w:r>
        <w:fldChar w:fldCharType="end"/>
      </w:r>
      <w:r>
        <w:fldChar w:fldCharType="end"/>
      </w:r>
    </w:p>
    <w:p w14:paraId="116786A6">
      <w:pPr>
        <w:pStyle w:val="25"/>
        <w:tabs>
          <w:tab w:val="right" w:leader="dot" w:pos="9354"/>
          <w:tab w:val="clear" w:pos="9344"/>
        </w:tabs>
      </w:pPr>
      <w:r>
        <w:fldChar w:fldCharType="begin"/>
      </w:r>
      <w:r>
        <w:instrText xml:space="preserve"> HYPERLINK \l _Toc2932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6.1 </w:t>
      </w:r>
      <w:r>
        <w:rPr>
          <w:rFonts w:hint="default"/>
          <w:lang w:val="en-US" w:eastAsia="zh-CN"/>
        </w:rPr>
        <w:t>播种时间</w:t>
      </w:r>
      <w:r>
        <w:tab/>
      </w:r>
      <w:r>
        <w:fldChar w:fldCharType="begin"/>
      </w:r>
      <w:r>
        <w:instrText xml:space="preserve"> PAGEREF _Toc2932 \h </w:instrText>
      </w:r>
      <w:r>
        <w:fldChar w:fldCharType="separate"/>
      </w:r>
      <w:r>
        <w:t>2</w:t>
      </w:r>
      <w:r>
        <w:fldChar w:fldCharType="end"/>
      </w:r>
      <w:r>
        <w:fldChar w:fldCharType="end"/>
      </w:r>
    </w:p>
    <w:p w14:paraId="5F4B8C72">
      <w:pPr>
        <w:pStyle w:val="25"/>
        <w:tabs>
          <w:tab w:val="right" w:leader="dot" w:pos="9354"/>
          <w:tab w:val="clear" w:pos="9344"/>
        </w:tabs>
      </w:pPr>
      <w:r>
        <w:fldChar w:fldCharType="begin"/>
      </w:r>
      <w:r>
        <w:instrText xml:space="preserve"> HYPERLINK \l _Toc12611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6.2 </w:t>
      </w:r>
      <w:r>
        <w:rPr>
          <w:rFonts w:hint="default"/>
          <w:lang w:val="en-US" w:eastAsia="zh-CN"/>
        </w:rPr>
        <w:t>行距配置</w:t>
      </w:r>
      <w:r>
        <w:tab/>
      </w:r>
      <w:r>
        <w:fldChar w:fldCharType="begin"/>
      </w:r>
      <w:r>
        <w:instrText xml:space="preserve"> PAGEREF _Toc12611 \h </w:instrText>
      </w:r>
      <w:r>
        <w:fldChar w:fldCharType="separate"/>
      </w:r>
      <w:r>
        <w:t>2</w:t>
      </w:r>
      <w:r>
        <w:fldChar w:fldCharType="end"/>
      </w:r>
      <w:r>
        <w:fldChar w:fldCharType="end"/>
      </w:r>
    </w:p>
    <w:p w14:paraId="5D7AD590">
      <w:pPr>
        <w:pStyle w:val="25"/>
        <w:tabs>
          <w:tab w:val="right" w:leader="dot" w:pos="9354"/>
          <w:tab w:val="clear" w:pos="9344"/>
        </w:tabs>
      </w:pPr>
      <w:r>
        <w:fldChar w:fldCharType="begin"/>
      </w:r>
      <w:r>
        <w:instrText xml:space="preserve"> HYPERLINK \l _Toc22815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6.3 </w:t>
      </w:r>
      <w:r>
        <w:rPr>
          <w:rFonts w:hint="default"/>
          <w:lang w:val="en-US" w:eastAsia="zh-CN"/>
        </w:rPr>
        <w:t>播种密度</w:t>
      </w:r>
      <w:r>
        <w:tab/>
      </w:r>
      <w:r>
        <w:fldChar w:fldCharType="begin"/>
      </w:r>
      <w:r>
        <w:instrText xml:space="preserve"> PAGEREF _Toc22815 \h </w:instrText>
      </w:r>
      <w:r>
        <w:fldChar w:fldCharType="separate"/>
      </w:r>
      <w:r>
        <w:t>2</w:t>
      </w:r>
      <w:r>
        <w:fldChar w:fldCharType="end"/>
      </w:r>
      <w:r>
        <w:fldChar w:fldCharType="end"/>
      </w:r>
    </w:p>
    <w:p w14:paraId="6D44050E">
      <w:pPr>
        <w:pStyle w:val="25"/>
        <w:tabs>
          <w:tab w:val="right" w:leader="dot" w:pos="9354"/>
          <w:tab w:val="clear" w:pos="9344"/>
        </w:tabs>
      </w:pPr>
      <w:r>
        <w:fldChar w:fldCharType="begin"/>
      </w:r>
      <w:r>
        <w:instrText xml:space="preserve"> HYPERLINK \l _Toc23779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6.4 </w:t>
      </w:r>
      <w:r>
        <w:rPr>
          <w:rFonts w:hint="default"/>
          <w:lang w:val="en-US" w:eastAsia="zh-CN"/>
        </w:rPr>
        <w:t>播种质量</w:t>
      </w:r>
      <w:r>
        <w:tab/>
      </w:r>
      <w:r>
        <w:fldChar w:fldCharType="begin"/>
      </w:r>
      <w:r>
        <w:instrText xml:space="preserve"> PAGEREF _Toc23779 \h </w:instrText>
      </w:r>
      <w:r>
        <w:fldChar w:fldCharType="separate"/>
      </w:r>
      <w:r>
        <w:t>2</w:t>
      </w:r>
      <w:r>
        <w:fldChar w:fldCharType="end"/>
      </w:r>
      <w:r>
        <w:fldChar w:fldCharType="end"/>
      </w:r>
    </w:p>
    <w:p w14:paraId="59F993EF">
      <w:pPr>
        <w:pStyle w:val="20"/>
        <w:tabs>
          <w:tab w:val="right" w:leader="dot" w:pos="9354"/>
        </w:tabs>
      </w:pPr>
      <w:r>
        <w:fldChar w:fldCharType="begin"/>
      </w:r>
      <w:r>
        <w:instrText xml:space="preserve"> HYPERLINK \l _Toc18943 </w:instrText>
      </w:r>
      <w:r>
        <w:fldChar w:fldCharType="separate"/>
      </w:r>
      <w:r>
        <w:rPr>
          <w:rFonts w:hint="eastAsia" w:ascii="黑体" w:eastAsia="黑体"/>
          <w:i w:val="0"/>
          <w:lang w:val="en-US" w:eastAsia="zh-CN"/>
        </w:rPr>
        <w:t xml:space="preserve">7 </w:t>
      </w:r>
      <w:r>
        <w:rPr>
          <w:rFonts w:hint="eastAsia"/>
          <w:lang w:val="en-US" w:eastAsia="zh-CN"/>
        </w:rPr>
        <w:t>田间管理</w:t>
      </w:r>
      <w:r>
        <w:tab/>
      </w:r>
      <w:r>
        <w:fldChar w:fldCharType="begin"/>
      </w:r>
      <w:r>
        <w:instrText xml:space="preserve"> PAGEREF _Toc18943 \h </w:instrText>
      </w:r>
      <w:r>
        <w:fldChar w:fldCharType="separate"/>
      </w:r>
      <w:r>
        <w:t>2</w:t>
      </w:r>
      <w:r>
        <w:fldChar w:fldCharType="end"/>
      </w:r>
      <w:r>
        <w:fldChar w:fldCharType="end"/>
      </w:r>
    </w:p>
    <w:p w14:paraId="37945FE4">
      <w:pPr>
        <w:pStyle w:val="25"/>
        <w:tabs>
          <w:tab w:val="right" w:leader="dot" w:pos="9354"/>
          <w:tab w:val="clear" w:pos="9344"/>
        </w:tabs>
      </w:pPr>
      <w:r>
        <w:fldChar w:fldCharType="begin"/>
      </w:r>
      <w:r>
        <w:instrText xml:space="preserve"> HYPERLINK \l _Toc6691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7.1 </w:t>
      </w:r>
      <w:r>
        <w:rPr>
          <w:rFonts w:hint="eastAsia"/>
          <w:lang w:val="en-US" w:eastAsia="zh-CN"/>
        </w:rPr>
        <w:t>补苗间苗</w:t>
      </w:r>
      <w:r>
        <w:tab/>
      </w:r>
      <w:r>
        <w:fldChar w:fldCharType="begin"/>
      </w:r>
      <w:r>
        <w:instrText xml:space="preserve"> PAGEREF _Toc6691 \h </w:instrText>
      </w:r>
      <w:r>
        <w:fldChar w:fldCharType="separate"/>
      </w:r>
      <w:r>
        <w:t>2</w:t>
      </w:r>
      <w:r>
        <w:fldChar w:fldCharType="end"/>
      </w:r>
      <w:r>
        <w:fldChar w:fldCharType="end"/>
      </w:r>
    </w:p>
    <w:p w14:paraId="519502E9">
      <w:pPr>
        <w:pStyle w:val="25"/>
        <w:tabs>
          <w:tab w:val="right" w:leader="dot" w:pos="9354"/>
          <w:tab w:val="clear" w:pos="9344"/>
        </w:tabs>
      </w:pPr>
      <w:r>
        <w:fldChar w:fldCharType="begin"/>
      </w:r>
      <w:r>
        <w:instrText xml:space="preserve"> HYPERLINK \l _Toc8515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szCs w:val="20"/>
          <w:vertAlign w:val="baseline"/>
          <w:lang w:val="en-US" w:eastAsia="zh-CN"/>
        </w:rPr>
        <w:t xml:space="preserve">7.2 </w:t>
      </w:r>
      <w:r>
        <w:rPr>
          <w:rFonts w:hint="eastAsia"/>
          <w:lang w:val="en-US" w:eastAsia="zh-CN"/>
        </w:rPr>
        <w:t>追</w:t>
      </w:r>
      <w:r>
        <w:rPr>
          <w:rFonts w:hint="default"/>
          <w:lang w:val="en-US" w:eastAsia="zh-CN"/>
        </w:rPr>
        <w:t>肥</w:t>
      </w:r>
      <w:r>
        <w:tab/>
      </w:r>
      <w:r>
        <w:fldChar w:fldCharType="begin"/>
      </w:r>
      <w:r>
        <w:instrText xml:space="preserve"> PAGEREF _Toc8515 \h </w:instrText>
      </w:r>
      <w:r>
        <w:fldChar w:fldCharType="separate"/>
      </w:r>
      <w:r>
        <w:t>3</w:t>
      </w:r>
      <w:r>
        <w:fldChar w:fldCharType="end"/>
      </w:r>
      <w:r>
        <w:fldChar w:fldCharType="end"/>
      </w:r>
    </w:p>
    <w:p w14:paraId="0AA543FC">
      <w:pPr>
        <w:pStyle w:val="25"/>
        <w:tabs>
          <w:tab w:val="right" w:leader="dot" w:pos="9354"/>
          <w:tab w:val="clear" w:pos="9344"/>
        </w:tabs>
      </w:pPr>
      <w:r>
        <w:fldChar w:fldCharType="begin"/>
      </w:r>
      <w:r>
        <w:instrText xml:space="preserve"> HYPERLINK \l _Toc11120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7.3 </w:t>
      </w:r>
      <w:r>
        <w:rPr>
          <w:rFonts w:hint="eastAsia"/>
          <w:lang w:val="en-US" w:eastAsia="zh-CN"/>
        </w:rPr>
        <w:t>中耕除草</w:t>
      </w:r>
      <w:r>
        <w:tab/>
      </w:r>
      <w:r>
        <w:fldChar w:fldCharType="begin"/>
      </w:r>
      <w:r>
        <w:instrText xml:space="preserve"> PAGEREF _Toc11120 \h </w:instrText>
      </w:r>
      <w:r>
        <w:fldChar w:fldCharType="separate"/>
      </w:r>
      <w:r>
        <w:t>3</w:t>
      </w:r>
      <w:r>
        <w:fldChar w:fldCharType="end"/>
      </w:r>
      <w:r>
        <w:fldChar w:fldCharType="end"/>
      </w:r>
    </w:p>
    <w:p w14:paraId="4E2B0FF1">
      <w:pPr>
        <w:pStyle w:val="25"/>
        <w:tabs>
          <w:tab w:val="right" w:leader="dot" w:pos="9354"/>
          <w:tab w:val="clear" w:pos="9344"/>
        </w:tabs>
      </w:pPr>
      <w:r>
        <w:fldChar w:fldCharType="begin"/>
      </w:r>
      <w:r>
        <w:instrText xml:space="preserve"> HYPERLINK \l _Toc23475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7.4 </w:t>
      </w:r>
      <w:r>
        <w:rPr>
          <w:rFonts w:hint="eastAsia"/>
          <w:lang w:val="en-US" w:eastAsia="zh-CN"/>
        </w:rPr>
        <w:t>水分管理</w:t>
      </w:r>
      <w:r>
        <w:tab/>
      </w:r>
      <w:r>
        <w:fldChar w:fldCharType="begin"/>
      </w:r>
      <w:r>
        <w:instrText xml:space="preserve"> PAGEREF _Toc23475 \h </w:instrText>
      </w:r>
      <w:r>
        <w:fldChar w:fldCharType="separate"/>
      </w:r>
      <w:r>
        <w:t>3</w:t>
      </w:r>
      <w:r>
        <w:fldChar w:fldCharType="end"/>
      </w:r>
      <w:r>
        <w:fldChar w:fldCharType="end"/>
      </w:r>
    </w:p>
    <w:p w14:paraId="17830CE2">
      <w:pPr>
        <w:pStyle w:val="25"/>
        <w:tabs>
          <w:tab w:val="right" w:leader="dot" w:pos="9354"/>
          <w:tab w:val="clear" w:pos="9344"/>
        </w:tabs>
      </w:pPr>
      <w:r>
        <w:fldChar w:fldCharType="begin"/>
      </w:r>
      <w:r>
        <w:instrText xml:space="preserve"> HYPERLINK \l _Toc5690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bidi="ar-SA"/>
        </w:rPr>
        <w:t xml:space="preserve">7.5 </w:t>
      </w:r>
      <w:r>
        <w:rPr>
          <w:rFonts w:hint="eastAsia"/>
          <w:lang w:val="en-US" w:eastAsia="zh-CN"/>
        </w:rPr>
        <w:t>摘</w:t>
      </w:r>
      <w:r>
        <w:rPr>
          <w:rFonts w:hint="default"/>
          <w:lang w:val="en-US" w:eastAsia="zh-CN"/>
        </w:rPr>
        <w:t>心打顶</w:t>
      </w:r>
      <w:r>
        <w:tab/>
      </w:r>
      <w:r>
        <w:fldChar w:fldCharType="begin"/>
      </w:r>
      <w:r>
        <w:instrText xml:space="preserve"> PAGEREF _Toc5690 \h </w:instrText>
      </w:r>
      <w:r>
        <w:fldChar w:fldCharType="separate"/>
      </w:r>
      <w:r>
        <w:t>3</w:t>
      </w:r>
      <w:r>
        <w:fldChar w:fldCharType="end"/>
      </w:r>
      <w:r>
        <w:fldChar w:fldCharType="end"/>
      </w:r>
    </w:p>
    <w:p w14:paraId="327D2458">
      <w:pPr>
        <w:pStyle w:val="20"/>
        <w:tabs>
          <w:tab w:val="right" w:leader="dot" w:pos="9354"/>
        </w:tabs>
      </w:pPr>
      <w:r>
        <w:fldChar w:fldCharType="begin"/>
      </w:r>
      <w:r>
        <w:instrText xml:space="preserve"> HYPERLINK \l _Toc7583 </w:instrText>
      </w:r>
      <w:r>
        <w:fldChar w:fldCharType="separate"/>
      </w:r>
      <w:r>
        <w:rPr>
          <w:rFonts w:hint="eastAsia" w:ascii="黑体" w:eastAsia="黑体"/>
          <w:i w:val="0"/>
          <w:lang w:val="en-US" w:eastAsia="zh-CN"/>
        </w:rPr>
        <w:t xml:space="preserve">8 </w:t>
      </w:r>
      <w:r>
        <w:rPr>
          <w:rFonts w:hint="default"/>
          <w:lang w:val="en-US" w:eastAsia="zh-CN"/>
        </w:rPr>
        <w:t>病虫害防治</w:t>
      </w:r>
      <w:r>
        <w:tab/>
      </w:r>
      <w:r>
        <w:fldChar w:fldCharType="begin"/>
      </w:r>
      <w:r>
        <w:instrText xml:space="preserve"> PAGEREF _Toc7583 \h </w:instrText>
      </w:r>
      <w:r>
        <w:fldChar w:fldCharType="separate"/>
      </w:r>
      <w:r>
        <w:t>3</w:t>
      </w:r>
      <w:r>
        <w:fldChar w:fldCharType="end"/>
      </w:r>
      <w:r>
        <w:fldChar w:fldCharType="end"/>
      </w:r>
    </w:p>
    <w:p w14:paraId="63CF0C26">
      <w:pPr>
        <w:pStyle w:val="25"/>
        <w:tabs>
          <w:tab w:val="right" w:leader="dot" w:pos="9354"/>
          <w:tab w:val="clear" w:pos="9344"/>
        </w:tabs>
      </w:pPr>
      <w:r>
        <w:fldChar w:fldCharType="begin"/>
      </w:r>
      <w:r>
        <w:instrText xml:space="preserve"> HYPERLINK \l _Toc22446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8.1 </w:t>
      </w:r>
      <w:r>
        <w:rPr>
          <w:rFonts w:hint="eastAsia"/>
          <w:lang w:val="en-US" w:eastAsia="zh-CN"/>
        </w:rPr>
        <w:t>防治原则</w:t>
      </w:r>
      <w:r>
        <w:tab/>
      </w:r>
      <w:r>
        <w:fldChar w:fldCharType="begin"/>
      </w:r>
      <w:r>
        <w:instrText xml:space="preserve"> PAGEREF _Toc22446 \h </w:instrText>
      </w:r>
      <w:r>
        <w:fldChar w:fldCharType="separate"/>
      </w:r>
      <w:r>
        <w:t>3</w:t>
      </w:r>
      <w:r>
        <w:fldChar w:fldCharType="end"/>
      </w:r>
      <w:r>
        <w:fldChar w:fldCharType="end"/>
      </w:r>
    </w:p>
    <w:p w14:paraId="279ECAC5">
      <w:pPr>
        <w:pStyle w:val="25"/>
        <w:tabs>
          <w:tab w:val="right" w:leader="dot" w:pos="9354"/>
          <w:tab w:val="clear" w:pos="9344"/>
        </w:tabs>
      </w:pPr>
      <w:r>
        <w:fldChar w:fldCharType="begin"/>
      </w:r>
      <w:r>
        <w:instrText xml:space="preserve"> HYPERLINK \l _Toc6458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8.2 </w:t>
      </w:r>
      <w:r>
        <w:rPr>
          <w:rFonts w:hint="default"/>
          <w:lang w:val="en-US" w:eastAsia="zh-CN"/>
        </w:rPr>
        <w:t>常见病虫害</w:t>
      </w:r>
      <w:r>
        <w:tab/>
      </w:r>
      <w:r>
        <w:fldChar w:fldCharType="begin"/>
      </w:r>
      <w:r>
        <w:instrText xml:space="preserve"> PAGEREF _Toc6458 \h </w:instrText>
      </w:r>
      <w:r>
        <w:fldChar w:fldCharType="separate"/>
      </w:r>
      <w:r>
        <w:t>3</w:t>
      </w:r>
      <w:r>
        <w:fldChar w:fldCharType="end"/>
      </w:r>
      <w:r>
        <w:fldChar w:fldCharType="end"/>
      </w:r>
    </w:p>
    <w:p w14:paraId="1D7E1471">
      <w:pPr>
        <w:pStyle w:val="25"/>
        <w:tabs>
          <w:tab w:val="right" w:leader="dot" w:pos="9354"/>
          <w:tab w:val="clear" w:pos="9344"/>
        </w:tabs>
      </w:pPr>
      <w:r>
        <w:fldChar w:fldCharType="begin"/>
      </w:r>
      <w:r>
        <w:instrText xml:space="preserve"> HYPERLINK \l _Toc9247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8.3 </w:t>
      </w:r>
      <w:r>
        <w:rPr>
          <w:rFonts w:hint="default"/>
          <w:lang w:val="en-US" w:eastAsia="zh-CN"/>
        </w:rPr>
        <w:t>农业防治</w:t>
      </w:r>
      <w:r>
        <w:tab/>
      </w:r>
      <w:r>
        <w:fldChar w:fldCharType="begin"/>
      </w:r>
      <w:r>
        <w:instrText xml:space="preserve"> PAGEREF _Toc9247 \h </w:instrText>
      </w:r>
      <w:r>
        <w:fldChar w:fldCharType="separate"/>
      </w:r>
      <w:r>
        <w:t>3</w:t>
      </w:r>
      <w:r>
        <w:fldChar w:fldCharType="end"/>
      </w:r>
      <w:r>
        <w:fldChar w:fldCharType="end"/>
      </w:r>
    </w:p>
    <w:p w14:paraId="181FDAF2">
      <w:pPr>
        <w:pStyle w:val="25"/>
        <w:tabs>
          <w:tab w:val="right" w:leader="dot" w:pos="9354"/>
          <w:tab w:val="clear" w:pos="9344"/>
        </w:tabs>
      </w:pPr>
      <w:r>
        <w:fldChar w:fldCharType="begin"/>
      </w:r>
      <w:r>
        <w:instrText xml:space="preserve"> HYPERLINK \l _Toc30917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zh-CN"/>
        </w:rPr>
        <w:t xml:space="preserve">8.4 </w:t>
      </w:r>
      <w:r>
        <w:rPr>
          <w:rFonts w:hint="eastAsia"/>
          <w:lang w:val="en-US" w:eastAsia="zh-CN"/>
        </w:rPr>
        <w:t>生物防控</w:t>
      </w:r>
      <w:r>
        <w:tab/>
      </w:r>
      <w:r>
        <w:fldChar w:fldCharType="begin"/>
      </w:r>
      <w:r>
        <w:instrText xml:space="preserve"> PAGEREF _Toc30917 \h </w:instrText>
      </w:r>
      <w:r>
        <w:fldChar w:fldCharType="separate"/>
      </w:r>
      <w:r>
        <w:t>3</w:t>
      </w:r>
      <w:r>
        <w:fldChar w:fldCharType="end"/>
      </w:r>
      <w:r>
        <w:fldChar w:fldCharType="end"/>
      </w:r>
    </w:p>
    <w:p w14:paraId="7E1CE036">
      <w:pPr>
        <w:pStyle w:val="25"/>
        <w:tabs>
          <w:tab w:val="right" w:leader="dot" w:pos="9354"/>
          <w:tab w:val="clear" w:pos="9344"/>
        </w:tabs>
      </w:pPr>
      <w:r>
        <w:fldChar w:fldCharType="begin"/>
      </w:r>
      <w:r>
        <w:instrText xml:space="preserve"> HYPERLINK \l _Toc12031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en-US"/>
        </w:rPr>
        <w:t xml:space="preserve">8.5 </w:t>
      </w:r>
      <w:r>
        <w:rPr>
          <w:rFonts w:hint="eastAsia"/>
          <w:lang w:val="en-US" w:eastAsia="en-US"/>
        </w:rPr>
        <w:t>物理防治</w:t>
      </w:r>
      <w:r>
        <w:tab/>
      </w:r>
      <w:r>
        <w:fldChar w:fldCharType="begin"/>
      </w:r>
      <w:r>
        <w:instrText xml:space="preserve"> PAGEREF _Toc12031 \h </w:instrText>
      </w:r>
      <w:r>
        <w:fldChar w:fldCharType="separate"/>
      </w:r>
      <w:r>
        <w:t>4</w:t>
      </w:r>
      <w:r>
        <w:fldChar w:fldCharType="end"/>
      </w:r>
      <w:r>
        <w:fldChar w:fldCharType="end"/>
      </w:r>
    </w:p>
    <w:p w14:paraId="34EAC1CF">
      <w:pPr>
        <w:pStyle w:val="25"/>
        <w:tabs>
          <w:tab w:val="right" w:leader="dot" w:pos="9354"/>
          <w:tab w:val="clear" w:pos="9344"/>
        </w:tabs>
      </w:pPr>
      <w:r>
        <w:fldChar w:fldCharType="begin"/>
      </w:r>
      <w:r>
        <w:instrText xml:space="preserve"> HYPERLINK \l _Toc29507 </w:instrText>
      </w:r>
      <w:r>
        <w:fldChar w:fldCharType="separate"/>
      </w:r>
      <w:r>
        <w:rPr>
          <w:rFonts w:hint="eastAsia" w:ascii="黑体" w:hAnsi="Times New Roman" w:eastAsia="黑体" w:cs="Times New Roman"/>
          <w:bCs w:val="0"/>
          <w:i w:val="0"/>
          <w:iCs w:val="0"/>
          <w:caps w:val="0"/>
          <w:smallCaps w:val="0"/>
          <w:strike w:val="0"/>
          <w:dstrike w:val="0"/>
          <w:vanish w:val="0"/>
          <w:spacing w:val="0"/>
          <w:kern w:val="0"/>
          <w:position w:val="0"/>
          <w:vertAlign w:val="baseline"/>
          <w:lang w:val="en-US" w:eastAsia="en-US"/>
        </w:rPr>
        <w:t xml:space="preserve">8.6 </w:t>
      </w:r>
      <w:r>
        <w:rPr>
          <w:rFonts w:hint="default"/>
          <w:lang w:val="en-US" w:eastAsia="en-US"/>
        </w:rPr>
        <w:t>化学防治</w:t>
      </w:r>
      <w:r>
        <w:tab/>
      </w:r>
      <w:r>
        <w:fldChar w:fldCharType="begin"/>
      </w:r>
      <w:r>
        <w:instrText xml:space="preserve"> PAGEREF _Toc29507 \h </w:instrText>
      </w:r>
      <w:r>
        <w:fldChar w:fldCharType="separate"/>
      </w:r>
      <w:r>
        <w:t>4</w:t>
      </w:r>
      <w:r>
        <w:fldChar w:fldCharType="end"/>
      </w:r>
      <w:r>
        <w:fldChar w:fldCharType="end"/>
      </w:r>
    </w:p>
    <w:p w14:paraId="6ABB59AC">
      <w:pPr>
        <w:pStyle w:val="20"/>
        <w:tabs>
          <w:tab w:val="right" w:leader="dot" w:pos="9354"/>
        </w:tabs>
      </w:pPr>
      <w:r>
        <w:fldChar w:fldCharType="begin"/>
      </w:r>
      <w:r>
        <w:instrText xml:space="preserve"> HYPERLINK \l _Toc10065 </w:instrText>
      </w:r>
      <w:r>
        <w:fldChar w:fldCharType="separate"/>
      </w:r>
      <w:r>
        <w:rPr>
          <w:rFonts w:hint="eastAsia" w:ascii="黑体" w:eastAsia="黑体"/>
          <w:i w:val="0"/>
          <w:lang w:val="en-US" w:eastAsia="zh-CN"/>
        </w:rPr>
        <w:t xml:space="preserve">9 </w:t>
      </w:r>
      <w:r>
        <w:rPr>
          <w:rFonts w:hint="default"/>
          <w:lang w:val="en-US" w:eastAsia="zh-CN"/>
        </w:rPr>
        <w:t>采收</w:t>
      </w:r>
      <w:r>
        <w:tab/>
      </w:r>
      <w:r>
        <w:fldChar w:fldCharType="begin"/>
      </w:r>
      <w:r>
        <w:instrText xml:space="preserve"> PAGEREF _Toc10065 \h </w:instrText>
      </w:r>
      <w:r>
        <w:fldChar w:fldCharType="separate"/>
      </w:r>
      <w:r>
        <w:t>4</w:t>
      </w:r>
      <w:r>
        <w:fldChar w:fldCharType="end"/>
      </w:r>
      <w:r>
        <w:fldChar w:fldCharType="end"/>
      </w:r>
    </w:p>
    <w:p w14:paraId="66538967">
      <w:pPr>
        <w:pStyle w:val="20"/>
        <w:tabs>
          <w:tab w:val="right" w:leader="dot" w:pos="9354"/>
        </w:tabs>
      </w:pPr>
      <w:r>
        <w:fldChar w:fldCharType="begin"/>
      </w:r>
      <w:r>
        <w:instrText xml:space="preserve"> HYPERLINK \l _Toc30922 </w:instrText>
      </w:r>
      <w:r>
        <w:fldChar w:fldCharType="separate"/>
      </w:r>
      <w:r>
        <w:rPr>
          <w:rFonts w:hint="eastAsia" w:ascii="黑体" w:eastAsia="黑体"/>
          <w:i w:val="0"/>
          <w:lang w:val="en-US" w:eastAsia="zh-CN"/>
        </w:rPr>
        <w:t xml:space="preserve">10 </w:t>
      </w:r>
      <w:r>
        <w:rPr>
          <w:rFonts w:hint="default"/>
          <w:lang w:val="en-US" w:eastAsia="zh-CN"/>
        </w:rPr>
        <w:t>入库保存</w:t>
      </w:r>
      <w:r>
        <w:tab/>
      </w:r>
      <w:r>
        <w:fldChar w:fldCharType="begin"/>
      </w:r>
      <w:r>
        <w:instrText xml:space="preserve"> PAGEREF _Toc30922 \h </w:instrText>
      </w:r>
      <w:r>
        <w:fldChar w:fldCharType="separate"/>
      </w:r>
      <w:r>
        <w:t>4</w:t>
      </w:r>
      <w:r>
        <w:fldChar w:fldCharType="end"/>
      </w:r>
      <w:r>
        <w:fldChar w:fldCharType="end"/>
      </w:r>
    </w:p>
    <w:p w14:paraId="6E5D9C27">
      <w:pPr>
        <w:pStyle w:val="20"/>
        <w:tabs>
          <w:tab w:val="right" w:leader="dot" w:pos="9354"/>
        </w:tabs>
      </w:pPr>
      <w:r>
        <w:fldChar w:fldCharType="begin"/>
      </w:r>
      <w:r>
        <w:instrText xml:space="preserve"> HYPERLINK \l _Toc16725 </w:instrText>
      </w:r>
      <w:r>
        <w:fldChar w:fldCharType="separate"/>
      </w:r>
      <w:r>
        <w:rPr>
          <w:rFonts w:hint="eastAsia" w:ascii="黑体" w:eastAsia="黑体"/>
          <w:i w:val="0"/>
          <w:lang w:val="en-US" w:eastAsia="zh-CN"/>
        </w:rPr>
        <w:t xml:space="preserve">11 </w:t>
      </w:r>
      <w:r>
        <w:rPr>
          <w:rFonts w:hint="default"/>
          <w:lang w:val="en-US" w:eastAsia="zh-CN"/>
        </w:rPr>
        <w:t>生产记录</w:t>
      </w:r>
      <w:r>
        <w:tab/>
      </w:r>
      <w:r>
        <w:fldChar w:fldCharType="begin"/>
      </w:r>
      <w:r>
        <w:instrText xml:space="preserve"> PAGEREF _Toc16725 \h </w:instrText>
      </w:r>
      <w:r>
        <w:fldChar w:fldCharType="separate"/>
      </w:r>
      <w:r>
        <w:t>4</w:t>
      </w:r>
      <w:r>
        <w:fldChar w:fldCharType="end"/>
      </w:r>
      <w:r>
        <w:fldChar w:fldCharType="end"/>
      </w:r>
    </w:p>
    <w:p w14:paraId="2DA64F2E">
      <w:pPr>
        <w:pStyle w:val="92"/>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3B15A660">
      <w:pPr>
        <w:pStyle w:val="90"/>
        <w:spacing w:after="468"/>
      </w:pPr>
      <w:bookmarkStart w:id="22" w:name="_Toc17672"/>
      <w:bookmarkStart w:id="23" w:name="BookMark2"/>
      <w:r>
        <w:rPr>
          <w:spacing w:val="320"/>
        </w:rPr>
        <w:t>前</w:t>
      </w:r>
      <w:r>
        <w:t>言</w:t>
      </w:r>
      <w:bookmarkEnd w:id="22"/>
    </w:p>
    <w:p w14:paraId="5B7309BA">
      <w:pPr>
        <w:pStyle w:val="57"/>
        <w:ind w:firstLine="420"/>
        <w:rPr>
          <w:rFonts w:hint="eastAsia"/>
        </w:rPr>
      </w:pPr>
      <w:r>
        <w:rPr>
          <w:rFonts w:hint="eastAsia"/>
        </w:rPr>
        <w:t>本文件按照GB/T 1.1—2020《标准化工作导则  第1部分：标准化文件的结构和起草规则》的规定起草。</w:t>
      </w:r>
    </w:p>
    <w:p w14:paraId="3831A341">
      <w:pPr>
        <w:pStyle w:val="57"/>
        <w:ind w:firstLine="420"/>
        <w:rPr>
          <w:rFonts w:hint="eastAsia"/>
        </w:rPr>
      </w:pPr>
      <w:r>
        <w:rPr>
          <w:rFonts w:hint="eastAsia"/>
        </w:rPr>
        <w:t>本文件由河南省南阳市农业农村局提出</w:t>
      </w:r>
      <w:r>
        <w:rPr>
          <w:rFonts w:hint="eastAsia"/>
          <w:lang w:val="en-US" w:eastAsia="zh-CN"/>
        </w:rPr>
        <w:t>并归口</w:t>
      </w:r>
      <w:r>
        <w:rPr>
          <w:rFonts w:hint="eastAsia"/>
        </w:rPr>
        <w:t>。</w:t>
      </w:r>
    </w:p>
    <w:p w14:paraId="68CC7597">
      <w:pPr>
        <w:pStyle w:val="232"/>
        <w:ind w:firstLine="440"/>
        <w:rPr>
          <w:rFonts w:hint="eastAsia"/>
        </w:rPr>
      </w:pPr>
      <w:r>
        <w:rPr>
          <w:rFonts w:hint="eastAsia"/>
        </w:rPr>
        <w:t>本文件起草单位：南阳市科学院、国家食用豆产业技术体系南阳综合试验站</w:t>
      </w:r>
    </w:p>
    <w:p w14:paraId="424D5CF9">
      <w:pPr>
        <w:spacing w:before="32" w:line="265" w:lineRule="auto"/>
        <w:ind w:firstLine="420"/>
        <w:jc w:val="both"/>
        <w:rPr>
          <w:rFonts w:hint="eastAsia" w:ascii="Times New Roman" w:hAnsi="Times New Roman" w:eastAsia="宋体" w:cs="Times New Roman"/>
          <w:spacing w:val="-2"/>
          <w:sz w:val="21"/>
          <w:szCs w:val="21"/>
          <w:lang w:eastAsia="zh-CN"/>
        </w:rPr>
      </w:pPr>
      <w:r>
        <w:rPr>
          <w:rFonts w:hint="eastAsia"/>
        </w:rPr>
        <w:t>本文件主要起草人：</w:t>
      </w:r>
      <w:r>
        <w:rPr>
          <w:rFonts w:hint="default" w:ascii="Times New Roman" w:hAnsi="Times New Roman" w:eastAsia="宋体" w:cs="Times New Roman"/>
          <w:spacing w:val="-2"/>
          <w:sz w:val="21"/>
          <w:szCs w:val="21"/>
        </w:rPr>
        <w:t>胡卫丽、徐青、朱旭、杨厚勇、徐笑锋、渠元春、鞠乐、赵倩、黄冉涛、郑青焕、李拴柱、牛银亭、马瑜、张国松、袁延乐、丁心冲、刘明玉、赵洋、高小峰、杨玉华、林清霞、杨廷勤、</w:t>
      </w:r>
      <w:r>
        <w:rPr>
          <w:rFonts w:hint="eastAsia" w:ascii="Times New Roman" w:hAnsi="Times New Roman" w:cs="Times New Roman"/>
          <w:spacing w:val="-2"/>
          <w:sz w:val="21"/>
          <w:szCs w:val="21"/>
          <w:lang w:val="en-US" w:eastAsia="zh-CN"/>
        </w:rPr>
        <w:t>杨玲、</w:t>
      </w:r>
      <w:r>
        <w:rPr>
          <w:rFonts w:hint="default" w:ascii="Times New Roman" w:hAnsi="Times New Roman" w:eastAsia="宋体" w:cs="Times New Roman"/>
          <w:spacing w:val="-2"/>
          <w:sz w:val="21"/>
          <w:szCs w:val="21"/>
        </w:rPr>
        <w:t>王佰彦、杨军燕、王良、李剑、王雪姣、曾祥耀</w:t>
      </w:r>
      <w:r>
        <w:rPr>
          <w:rFonts w:hint="eastAsia" w:ascii="Times New Roman" w:hAnsi="Times New Roman" w:cs="Times New Roman"/>
          <w:spacing w:val="-2"/>
          <w:sz w:val="21"/>
          <w:szCs w:val="21"/>
          <w:lang w:eastAsia="zh-CN"/>
        </w:rPr>
        <w:t>、</w:t>
      </w:r>
      <w:r>
        <w:rPr>
          <w:rFonts w:hint="default" w:ascii="Times New Roman" w:hAnsi="Times New Roman" w:eastAsia="宋体" w:cs="Times New Roman"/>
          <w:spacing w:val="-2"/>
          <w:sz w:val="21"/>
          <w:szCs w:val="21"/>
        </w:rPr>
        <w:t>杨鹏程</w:t>
      </w:r>
    </w:p>
    <w:p w14:paraId="65D9E4D2">
      <w:pPr>
        <w:pStyle w:val="57"/>
        <w:ind w:firstLine="420"/>
        <w:rPr>
          <w:rFonts w:hint="eastAsia"/>
        </w:rPr>
      </w:pPr>
    </w:p>
    <w:p w14:paraId="41081770">
      <w:pPr>
        <w:pStyle w:val="57"/>
        <w:ind w:firstLine="420"/>
      </w:pPr>
    </w:p>
    <w:p w14:paraId="7316055E">
      <w:pPr>
        <w:pStyle w:val="57"/>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65693D45">
      <w:pPr>
        <w:spacing w:line="20" w:lineRule="exact"/>
        <w:jc w:val="center"/>
        <w:rPr>
          <w:rFonts w:ascii="黑体" w:hAnsi="黑体" w:eastAsia="黑体"/>
          <w:sz w:val="32"/>
          <w:szCs w:val="32"/>
        </w:rPr>
      </w:pPr>
      <w:bookmarkStart w:id="24" w:name="BookMark4"/>
    </w:p>
    <w:p w14:paraId="54C0EC64">
      <w:pPr>
        <w:spacing w:line="20" w:lineRule="exact"/>
        <w:jc w:val="center"/>
        <w:rPr>
          <w:rFonts w:ascii="黑体" w:hAnsi="黑体" w:eastAsia="黑体"/>
          <w:sz w:val="32"/>
          <w:szCs w:val="32"/>
        </w:rPr>
      </w:pPr>
    </w:p>
    <w:sdt>
      <w:sdtPr>
        <w:tag w:val="NEW_STAND_NAME"/>
        <w:id w:val="595910757"/>
        <w:lock w:val="sdtLocked"/>
        <w:placeholder>
          <w:docPart w:val="AF106D7B9713433EBED62775630D90EC"/>
        </w:placeholder>
      </w:sdtPr>
      <w:sdtContent>
        <w:p w14:paraId="6EA57CA2">
          <w:pPr>
            <w:pStyle w:val="178"/>
            <w:spacing w:beforeLines="182" w:afterLines="220"/>
          </w:pPr>
          <w:bookmarkStart w:id="25" w:name="NEW_STAND_NAME"/>
          <w:r>
            <w:rPr>
              <w:rFonts w:hint="eastAsia"/>
            </w:rPr>
            <w:t>蚕豆</w:t>
          </w:r>
          <w:r>
            <w:t>栽培技术规程</w:t>
          </w:r>
        </w:p>
      </w:sdtContent>
    </w:sdt>
    <w:bookmarkEnd w:id="25"/>
    <w:p w14:paraId="7A981910">
      <w:pPr>
        <w:pStyle w:val="105"/>
        <w:spacing w:before="312" w:after="312"/>
      </w:pPr>
      <w:bookmarkStart w:id="26" w:name="_Toc17233325"/>
      <w:bookmarkStart w:id="27" w:name="_Toc27343"/>
      <w:bookmarkStart w:id="28" w:name="_Toc26648465"/>
      <w:bookmarkStart w:id="29" w:name="_Toc24884211"/>
      <w:bookmarkStart w:id="30" w:name="_Toc97191423"/>
      <w:bookmarkStart w:id="31" w:name="_Toc24884218"/>
      <w:bookmarkStart w:id="32" w:name="_Toc26986771"/>
      <w:bookmarkStart w:id="33" w:name="_Toc26718930"/>
      <w:bookmarkStart w:id="34" w:name="_Toc17233333"/>
      <w:bookmarkStart w:id="35" w:name="_Toc26986530"/>
      <w:r>
        <w:rPr>
          <w:rFonts w:hint="eastAsia"/>
        </w:rPr>
        <w:t>范围</w:t>
      </w:r>
      <w:bookmarkEnd w:id="26"/>
      <w:bookmarkEnd w:id="27"/>
      <w:bookmarkEnd w:id="28"/>
      <w:bookmarkEnd w:id="29"/>
      <w:bookmarkEnd w:id="30"/>
      <w:bookmarkEnd w:id="31"/>
      <w:bookmarkEnd w:id="32"/>
      <w:bookmarkEnd w:id="33"/>
      <w:bookmarkEnd w:id="34"/>
      <w:bookmarkEnd w:id="35"/>
    </w:p>
    <w:p w14:paraId="76B24CB0">
      <w:pPr>
        <w:pStyle w:val="232"/>
        <w:spacing w:before="50" w:after="50" w:line="360" w:lineRule="exact"/>
        <w:ind w:firstLine="440"/>
        <w:rPr>
          <w:rFonts w:ascii="Times New Roman"/>
          <w:szCs w:val="21"/>
        </w:rPr>
      </w:pPr>
      <w:bookmarkStart w:id="36" w:name="_Toc24884212"/>
      <w:bookmarkStart w:id="37" w:name="_Toc17233334"/>
      <w:bookmarkStart w:id="38" w:name="_Toc24884219"/>
      <w:bookmarkStart w:id="39" w:name="_Toc26648466"/>
      <w:bookmarkStart w:id="40" w:name="_Toc17233326"/>
      <w:r>
        <w:rPr>
          <w:rFonts w:hint="eastAsia" w:ascii="Times New Roman"/>
          <w:szCs w:val="21"/>
        </w:rPr>
        <w:t>本文件规定了南阳市蚕豆的产地环境、品种选择、生产管理、生产记录等。</w:t>
      </w:r>
    </w:p>
    <w:p w14:paraId="3F2CFC34">
      <w:pPr>
        <w:pStyle w:val="232"/>
        <w:spacing w:line="360" w:lineRule="exact"/>
        <w:ind w:firstLine="440"/>
      </w:pPr>
      <w:r>
        <w:rPr>
          <w:rFonts w:hint="eastAsia" w:ascii="Times New Roman"/>
          <w:szCs w:val="21"/>
        </w:rPr>
        <w:t>本文件适用于南阳市蚕豆的生产，其它生态环境相近地区参考使用。</w:t>
      </w:r>
    </w:p>
    <w:p w14:paraId="50804D17">
      <w:pPr>
        <w:pStyle w:val="105"/>
        <w:spacing w:before="312" w:after="312"/>
      </w:pPr>
      <w:bookmarkStart w:id="41" w:name="_Toc97191424"/>
      <w:bookmarkStart w:id="42" w:name="_Toc26986531"/>
      <w:bookmarkStart w:id="43" w:name="_Toc26718931"/>
      <w:bookmarkStart w:id="44" w:name="_Toc3205"/>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520C300B9604D3BA944591F90F4715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C18ABA9">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86B6389">
      <w:pPr>
        <w:pStyle w:val="232"/>
        <w:spacing w:before="50" w:after="50" w:line="240" w:lineRule="auto"/>
        <w:ind w:firstLine="440"/>
        <w:rPr>
          <w:rFonts w:hint="eastAsia" w:ascii="Times New Roman"/>
          <w:szCs w:val="21"/>
        </w:rPr>
      </w:pPr>
      <w:r>
        <w:rPr>
          <w:rFonts w:hint="eastAsia" w:ascii="Times New Roman"/>
          <w:szCs w:val="21"/>
        </w:rPr>
        <w:t xml:space="preserve">GB 15618            土壤环境质量标准  </w:t>
      </w:r>
    </w:p>
    <w:p w14:paraId="4FED1981">
      <w:pPr>
        <w:pStyle w:val="232"/>
        <w:spacing w:before="50" w:after="50" w:line="240" w:lineRule="auto"/>
        <w:ind w:firstLine="440"/>
        <w:rPr>
          <w:rFonts w:hint="eastAsia" w:ascii="Times New Roman"/>
          <w:szCs w:val="21"/>
        </w:rPr>
      </w:pPr>
      <w:r>
        <w:rPr>
          <w:rFonts w:hint="eastAsia" w:ascii="Times New Roman"/>
          <w:szCs w:val="21"/>
        </w:rPr>
        <w:t>GB 5084             农田灌溉水</w:t>
      </w:r>
      <w:r>
        <w:rPr>
          <w:rFonts w:hint="eastAsia" w:ascii="Times New Roman"/>
          <w:szCs w:val="21"/>
          <w:lang w:val="en-US" w:eastAsia="zh-CN"/>
        </w:rPr>
        <w:t>质</w:t>
      </w:r>
      <w:r>
        <w:rPr>
          <w:rFonts w:hint="eastAsia" w:ascii="Times New Roman"/>
          <w:szCs w:val="21"/>
        </w:rPr>
        <w:t>标准</w:t>
      </w:r>
    </w:p>
    <w:p w14:paraId="49B96E1C">
      <w:pPr>
        <w:pStyle w:val="232"/>
        <w:spacing w:before="50" w:after="50" w:line="240" w:lineRule="auto"/>
        <w:ind w:firstLine="440"/>
        <w:rPr>
          <w:rFonts w:hint="eastAsia" w:ascii="Times New Roman"/>
          <w:szCs w:val="21"/>
        </w:rPr>
      </w:pPr>
      <w:r>
        <w:rPr>
          <w:rFonts w:hint="eastAsia" w:ascii="Times New Roman"/>
          <w:szCs w:val="21"/>
        </w:rPr>
        <w:t>GB 4404.2</w:t>
      </w:r>
      <w:r>
        <w:rPr>
          <w:rFonts w:hint="eastAsia" w:ascii="Times New Roman"/>
          <w:szCs w:val="21"/>
          <w:lang w:val="en-US" w:eastAsia="zh-CN"/>
        </w:rPr>
        <w:t xml:space="preserve"> </w:t>
      </w:r>
      <w:r>
        <w:rPr>
          <w:rFonts w:hint="eastAsia" w:ascii="Times New Roman"/>
          <w:szCs w:val="21"/>
        </w:rPr>
        <w:t xml:space="preserve">          粮食作物种子 第2部分：豆类</w:t>
      </w:r>
    </w:p>
    <w:p w14:paraId="15D0167C">
      <w:pPr>
        <w:pStyle w:val="232"/>
        <w:spacing w:before="50" w:after="50" w:line="240" w:lineRule="auto"/>
        <w:ind w:firstLine="440"/>
        <w:rPr>
          <w:rFonts w:hint="eastAsia" w:ascii="Times New Roman"/>
          <w:szCs w:val="21"/>
        </w:rPr>
      </w:pPr>
      <w:r>
        <w:rPr>
          <w:rFonts w:hint="eastAsia" w:ascii="Times New Roman"/>
          <w:szCs w:val="21"/>
        </w:rPr>
        <w:t>GB/T 8321.10        农药合理使用准则（十）</w:t>
      </w:r>
    </w:p>
    <w:p w14:paraId="24A60C5E">
      <w:pPr>
        <w:pStyle w:val="232"/>
        <w:spacing w:before="50" w:after="50" w:line="240" w:lineRule="auto"/>
        <w:ind w:firstLine="440"/>
        <w:rPr>
          <w:rFonts w:hint="eastAsia" w:ascii="Times New Roman"/>
          <w:szCs w:val="21"/>
        </w:rPr>
      </w:pPr>
      <w:r>
        <w:rPr>
          <w:rFonts w:hint="eastAsia" w:ascii="Times New Roman"/>
          <w:szCs w:val="21"/>
        </w:rPr>
        <w:t xml:space="preserve">NY/T 496           </w:t>
      </w:r>
      <w:r>
        <w:rPr>
          <w:rFonts w:hint="eastAsia" w:ascii="Times New Roman"/>
          <w:szCs w:val="21"/>
          <w:lang w:val="en-US" w:eastAsia="zh-CN"/>
        </w:rPr>
        <w:t xml:space="preserve"> </w:t>
      </w:r>
      <w:r>
        <w:rPr>
          <w:rFonts w:hint="eastAsia" w:ascii="Times New Roman"/>
          <w:szCs w:val="21"/>
        </w:rPr>
        <w:t>肥料合理使用准则 通则</w:t>
      </w:r>
    </w:p>
    <w:p w14:paraId="0088BA17">
      <w:pPr>
        <w:pStyle w:val="232"/>
        <w:spacing w:before="50" w:after="50" w:line="240" w:lineRule="auto"/>
        <w:ind w:firstLine="440"/>
        <w:rPr>
          <w:rFonts w:hint="eastAsia" w:ascii="Times New Roman"/>
          <w:szCs w:val="21"/>
        </w:rPr>
      </w:pPr>
      <w:r>
        <w:rPr>
          <w:rFonts w:hint="eastAsia" w:ascii="Times New Roman"/>
          <w:szCs w:val="21"/>
        </w:rPr>
        <w:t>NY/T 525            有机肥料</w:t>
      </w:r>
    </w:p>
    <w:p w14:paraId="56437FA1">
      <w:pPr>
        <w:pStyle w:val="105"/>
        <w:spacing w:before="312" w:after="312"/>
      </w:pPr>
      <w:bookmarkStart w:id="46" w:name="_Toc27122"/>
      <w:bookmarkStart w:id="47" w:name="_Toc97191425"/>
      <w:r>
        <w:rPr>
          <w:rFonts w:hint="eastAsia"/>
          <w:szCs w:val="21"/>
        </w:rPr>
        <w:t>术语和定义</w:t>
      </w:r>
      <w:bookmarkEnd w:id="46"/>
      <w:bookmarkEnd w:id="47"/>
    </w:p>
    <w:sdt>
      <w:sdtPr>
        <w:id w:val="-1909835108"/>
        <w:placeholder>
          <w:docPart w:val="0A6CDF63350346758F51E934A95D4CB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8ADA5CE">
          <w:pPr>
            <w:pStyle w:val="57"/>
            <w:ind w:firstLine="420"/>
            <w:rPr>
              <w:rStyle w:val="237"/>
            </w:rPr>
          </w:pPr>
          <w:bookmarkStart w:id="48" w:name="_Toc26986532"/>
          <w:bookmarkEnd w:id="48"/>
          <w:r>
            <w:rPr>
              <w:rFonts w:ascii="宋体" w:hAnsi="Times New Roman" w:eastAsia="宋体" w:cs="Times New Roman"/>
              <w:sz w:val="21"/>
              <w:lang w:val="en-US" w:eastAsia="zh-CN" w:bidi="ar-SA"/>
            </w:rPr>
            <w:t>本文件没有需要界定的术语和定义。</w:t>
          </w:r>
        </w:p>
      </w:sdtContent>
    </w:sdt>
    <w:p w14:paraId="3BDF22DC">
      <w:pPr>
        <w:pStyle w:val="105"/>
        <w:spacing w:before="312" w:after="312"/>
      </w:pPr>
      <w:bookmarkStart w:id="49" w:name="_Toc22256"/>
      <w:r>
        <w:rPr>
          <w:rFonts w:hint="eastAsia"/>
        </w:rPr>
        <w:t>产地环境</w:t>
      </w:r>
      <w:r>
        <w:rPr>
          <w:rFonts w:hint="eastAsia"/>
          <w:lang w:val="en-US" w:eastAsia="zh-CN"/>
        </w:rPr>
        <w:t>要求</w:t>
      </w:r>
      <w:bookmarkEnd w:id="49"/>
    </w:p>
    <w:p w14:paraId="66F04010">
      <w:pPr>
        <w:pStyle w:val="232"/>
        <w:spacing w:before="50" w:after="50" w:line="360" w:lineRule="exact"/>
        <w:ind w:firstLine="440"/>
        <w:rPr>
          <w:rFonts w:hint="eastAsia" w:ascii="Times New Roman"/>
          <w:sz w:val="21"/>
          <w:szCs w:val="20"/>
        </w:rPr>
      </w:pPr>
      <w:r>
        <w:rPr>
          <w:rFonts w:hint="eastAsia" w:ascii="Times New Roman"/>
          <w:sz w:val="21"/>
          <w:szCs w:val="20"/>
        </w:rPr>
        <w:t>选择土层深厚、理化性状良好、肥力均匀、排灌方便、不重茬和前茬未种过豆科作物的中上等肥力水平土壤。产地环境</w:t>
      </w:r>
      <w:r>
        <w:rPr>
          <w:rFonts w:hint="eastAsia" w:ascii="Times New Roman"/>
          <w:sz w:val="21"/>
          <w:szCs w:val="20"/>
          <w:lang w:val="en-US" w:eastAsia="zh-CN"/>
        </w:rPr>
        <w:t>应</w:t>
      </w:r>
      <w:r>
        <w:rPr>
          <w:rFonts w:hint="eastAsia" w:ascii="Times New Roman"/>
          <w:sz w:val="21"/>
          <w:szCs w:val="20"/>
        </w:rPr>
        <w:t>符合</w:t>
      </w:r>
      <w:r>
        <w:rPr>
          <w:rFonts w:hint="eastAsia" w:ascii="Times New Roman"/>
          <w:sz w:val="21"/>
          <w:szCs w:val="20"/>
          <w:lang w:val="en-US" w:eastAsia="zh-CN"/>
        </w:rPr>
        <w:t xml:space="preserve"> </w:t>
      </w:r>
      <w:r>
        <w:rPr>
          <w:rFonts w:hint="eastAsia" w:ascii="Times New Roman"/>
          <w:sz w:val="21"/>
          <w:szCs w:val="20"/>
        </w:rPr>
        <w:t>GB 15618、GB 5084</w:t>
      </w:r>
      <w:r>
        <w:rPr>
          <w:rFonts w:hint="eastAsia" w:ascii="Times New Roman"/>
          <w:sz w:val="21"/>
          <w:szCs w:val="20"/>
          <w:lang w:val="en-US" w:eastAsia="zh-CN"/>
        </w:rPr>
        <w:t xml:space="preserve"> </w:t>
      </w:r>
      <w:r>
        <w:rPr>
          <w:rFonts w:hint="eastAsia" w:ascii="Times New Roman"/>
          <w:sz w:val="21"/>
          <w:szCs w:val="20"/>
        </w:rPr>
        <w:t>的规定。</w:t>
      </w:r>
    </w:p>
    <w:p w14:paraId="3EF7B237">
      <w:pPr>
        <w:pStyle w:val="105"/>
        <w:spacing w:before="312" w:after="312"/>
      </w:pPr>
      <w:bookmarkStart w:id="50" w:name="_Toc22870"/>
      <w:r>
        <w:rPr>
          <w:rFonts w:hint="eastAsia"/>
          <w:lang w:val="en-US" w:eastAsia="zh-CN"/>
        </w:rPr>
        <w:t>播前准备</w:t>
      </w:r>
      <w:bookmarkEnd w:id="50"/>
    </w:p>
    <w:p w14:paraId="3E7E12BA">
      <w:pPr>
        <w:pStyle w:val="106"/>
        <w:spacing w:before="156" w:after="156"/>
      </w:pPr>
      <w:bookmarkStart w:id="51" w:name="_Toc10862"/>
      <w:r>
        <w:rPr>
          <w:rFonts w:hint="eastAsia"/>
          <w:lang w:val="en-US" w:eastAsia="zh-CN"/>
        </w:rPr>
        <w:t>品种选择</w:t>
      </w:r>
      <w:bookmarkEnd w:id="51"/>
    </w:p>
    <w:p w14:paraId="1282C454">
      <w:pPr>
        <w:pStyle w:val="232"/>
        <w:spacing w:before="50" w:after="50" w:line="360" w:lineRule="exact"/>
        <w:ind w:firstLine="420"/>
        <w:rPr>
          <w:rFonts w:ascii="Times New Roman"/>
          <w:sz w:val="21"/>
        </w:rPr>
      </w:pPr>
      <w:r>
        <w:rPr>
          <w:rFonts w:hint="eastAsia" w:ascii="Times New Roman"/>
          <w:sz w:val="21"/>
        </w:rPr>
        <w:t>品种应选择通过有关部门登记或审定（认定）的适宜南阳地区种植的蚕豆品种。以采摘青荚为主应选用大粒、耐寒、耐旱、高产、优质，如通蚕鲜</w:t>
      </w:r>
      <w:r>
        <w:rPr>
          <w:rFonts w:ascii="Times New Roman"/>
          <w:sz w:val="21"/>
        </w:rPr>
        <w:t>6</w:t>
      </w:r>
      <w:r>
        <w:rPr>
          <w:rFonts w:hint="eastAsia" w:ascii="Times New Roman"/>
          <w:sz w:val="21"/>
        </w:rPr>
        <w:t>号、通蚕鲜</w:t>
      </w:r>
      <w:r>
        <w:rPr>
          <w:rFonts w:ascii="Times New Roman"/>
          <w:sz w:val="21"/>
        </w:rPr>
        <w:t>8</w:t>
      </w:r>
      <w:r>
        <w:rPr>
          <w:rFonts w:hint="eastAsia" w:ascii="Times New Roman"/>
          <w:sz w:val="21"/>
        </w:rPr>
        <w:t>号和海门大青皮等，以收获干籽粒蚕豆为主应选用抗病、耐旱、耐寒、早熟、高产、优质的蚕豆品种，如启豆</w:t>
      </w:r>
      <w:r>
        <w:rPr>
          <w:rFonts w:ascii="Times New Roman"/>
          <w:sz w:val="21"/>
        </w:rPr>
        <w:t>2</w:t>
      </w:r>
      <w:r>
        <w:rPr>
          <w:rFonts w:hint="eastAsia" w:ascii="Times New Roman"/>
          <w:sz w:val="21"/>
        </w:rPr>
        <w:t>号、凤豆</w:t>
      </w:r>
      <w:r>
        <w:rPr>
          <w:rFonts w:ascii="Times New Roman"/>
          <w:sz w:val="21"/>
        </w:rPr>
        <w:t>6</w:t>
      </w:r>
      <w:r>
        <w:rPr>
          <w:rFonts w:hint="eastAsia" w:ascii="Times New Roman"/>
          <w:sz w:val="21"/>
        </w:rPr>
        <w:t>号、成胡</w:t>
      </w:r>
      <w:r>
        <w:rPr>
          <w:rFonts w:ascii="Times New Roman"/>
          <w:sz w:val="21"/>
        </w:rPr>
        <w:t>25</w:t>
      </w:r>
      <w:r>
        <w:rPr>
          <w:rFonts w:hint="eastAsia" w:ascii="Times New Roman"/>
          <w:sz w:val="21"/>
        </w:rPr>
        <w:t>和云豆</w:t>
      </w:r>
      <w:r>
        <w:rPr>
          <w:rFonts w:ascii="Times New Roman"/>
          <w:sz w:val="21"/>
        </w:rPr>
        <w:t xml:space="preserve">147 </w:t>
      </w:r>
      <w:r>
        <w:rPr>
          <w:rFonts w:hint="eastAsia" w:ascii="Times New Roman"/>
          <w:sz w:val="21"/>
        </w:rPr>
        <w:t>等，种子质量应符合</w:t>
      </w:r>
      <w:r>
        <w:rPr>
          <w:rFonts w:hint="eastAsia" w:ascii="Times New Roman"/>
          <w:sz w:val="21"/>
          <w:lang w:val="en-US" w:eastAsia="zh-CN"/>
        </w:rPr>
        <w:t xml:space="preserve"> </w:t>
      </w:r>
      <w:r>
        <w:rPr>
          <w:rFonts w:ascii="Times New Roman"/>
          <w:sz w:val="21"/>
        </w:rPr>
        <w:t>GB 4404.2</w:t>
      </w:r>
      <w:r>
        <w:rPr>
          <w:rFonts w:hint="eastAsia" w:ascii="Times New Roman"/>
          <w:sz w:val="21"/>
          <w:lang w:val="en-US" w:eastAsia="zh-CN"/>
        </w:rPr>
        <w:t xml:space="preserve"> </w:t>
      </w:r>
      <w:r>
        <w:rPr>
          <w:rFonts w:hint="eastAsia" w:ascii="Times New Roman"/>
          <w:sz w:val="21"/>
        </w:rPr>
        <w:t>的规定。</w:t>
      </w:r>
    </w:p>
    <w:p w14:paraId="1132B733">
      <w:pPr>
        <w:pStyle w:val="106"/>
        <w:spacing w:before="156" w:after="156"/>
      </w:pPr>
      <w:bookmarkStart w:id="52" w:name="_Toc20732"/>
      <w:r>
        <w:rPr>
          <w:rFonts w:hint="eastAsia"/>
          <w:lang w:val="en-US" w:eastAsia="zh-CN"/>
        </w:rPr>
        <w:t>种子处理</w:t>
      </w:r>
      <w:bookmarkEnd w:id="52"/>
    </w:p>
    <w:p w14:paraId="0770EC74">
      <w:pPr>
        <w:pStyle w:val="66"/>
        <w:spacing w:before="156" w:after="156"/>
      </w:pPr>
      <w:r>
        <w:rPr>
          <w:rFonts w:hint="eastAsia"/>
          <w:lang w:val="en-US" w:eastAsia="zh-CN"/>
        </w:rPr>
        <w:t>选种</w:t>
      </w:r>
    </w:p>
    <w:p w14:paraId="24D8FC17">
      <w:pPr>
        <w:pStyle w:val="232"/>
        <w:spacing w:before="50" w:after="50" w:line="360" w:lineRule="exact"/>
        <w:ind w:firstLine="440"/>
        <w:rPr>
          <w:rFonts w:hint="eastAsia" w:ascii="Times New Roman"/>
          <w:sz w:val="21"/>
          <w:szCs w:val="20"/>
        </w:rPr>
      </w:pPr>
      <w:r>
        <w:rPr>
          <w:rFonts w:hint="eastAsia" w:ascii="Times New Roman"/>
          <w:sz w:val="21"/>
          <w:szCs w:val="20"/>
        </w:rPr>
        <w:t>利用风选、机械清选等精选无病斑、无破损、籽粒饱满的种子。采用机械分级后的种子更有利于机械化播种。</w:t>
      </w:r>
    </w:p>
    <w:p w14:paraId="3DF296EA">
      <w:pPr>
        <w:pStyle w:val="66"/>
        <w:spacing w:before="156" w:after="156"/>
      </w:pPr>
      <w:r>
        <w:rPr>
          <w:rFonts w:hint="eastAsia"/>
          <w:lang w:val="en-US" w:eastAsia="zh-CN"/>
        </w:rPr>
        <w:t>晒种</w:t>
      </w:r>
    </w:p>
    <w:p w14:paraId="162018B2">
      <w:pPr>
        <w:pStyle w:val="57"/>
        <w:rPr>
          <w:rFonts w:hint="default" w:ascii="Times New Roman" w:hAnsi="Times New Roman" w:cs="Times New Roman"/>
          <w:sz w:val="21"/>
          <w:szCs w:val="20"/>
        </w:rPr>
      </w:pPr>
      <w:r>
        <w:rPr>
          <w:rFonts w:hint="default" w:ascii="Times New Roman" w:hAnsi="Times New Roman" w:cs="Times New Roman"/>
          <w:sz w:val="21"/>
          <w:szCs w:val="20"/>
        </w:rPr>
        <w:t>选择晴好天气，晒种 1 d～2 d。</w:t>
      </w:r>
    </w:p>
    <w:p w14:paraId="5EC847C1">
      <w:pPr>
        <w:pStyle w:val="66"/>
        <w:spacing w:before="156" w:after="156"/>
        <w:rPr>
          <w:rFonts w:hint="eastAsia"/>
          <w:lang w:val="en-US" w:eastAsia="zh-CN"/>
        </w:rPr>
      </w:pPr>
      <w:r>
        <w:rPr>
          <w:rFonts w:hint="eastAsia"/>
          <w:lang w:val="en-US" w:eastAsia="zh-CN"/>
        </w:rPr>
        <w:t>浸种、拌种</w:t>
      </w:r>
    </w:p>
    <w:p w14:paraId="487F47D3">
      <w:pPr>
        <w:pStyle w:val="232"/>
        <w:spacing w:before="50" w:after="50" w:line="360" w:lineRule="exact"/>
        <w:ind w:firstLine="440"/>
        <w:rPr>
          <w:rFonts w:hint="eastAsia" w:ascii="Times New Roman"/>
          <w:sz w:val="21"/>
          <w:szCs w:val="20"/>
        </w:rPr>
      </w:pPr>
      <w:r>
        <w:rPr>
          <w:rFonts w:hint="eastAsia" w:ascii="Times New Roman"/>
          <w:sz w:val="21"/>
          <w:szCs w:val="20"/>
        </w:rPr>
        <w:t>播种前用钼酸铵调成 0.1%的水溶液常温下浸种 8 h～12 h，浸种后在阴凉处晾干备用。病毒病严重的地块用 70%吡虫啉湿拌种剂 20 g～30 g 兑水200 ml，拌种 10 kg～15 kg，拌种后在阴凉处晾干。药剂使用应符合</w:t>
      </w:r>
      <w:r>
        <w:rPr>
          <w:rFonts w:hint="eastAsia" w:ascii="Times New Roman"/>
          <w:sz w:val="21"/>
          <w:szCs w:val="20"/>
          <w:lang w:val="en-US" w:eastAsia="zh-CN"/>
        </w:rPr>
        <w:t xml:space="preserve"> </w:t>
      </w:r>
      <w:r>
        <w:rPr>
          <w:rFonts w:hint="eastAsia" w:ascii="Times New Roman"/>
          <w:sz w:val="21"/>
          <w:szCs w:val="20"/>
        </w:rPr>
        <w:t>GB/T 8321.10 的规定。</w:t>
      </w:r>
    </w:p>
    <w:p w14:paraId="1E9A9003">
      <w:pPr>
        <w:pStyle w:val="106"/>
        <w:spacing w:before="156" w:after="156"/>
        <w:rPr>
          <w:rFonts w:hint="default"/>
          <w:lang w:val="en-US" w:eastAsia="zh-CN"/>
        </w:rPr>
      </w:pPr>
      <w:bookmarkStart w:id="53" w:name="_Toc26561"/>
      <w:r>
        <w:rPr>
          <w:rFonts w:hint="eastAsia"/>
          <w:lang w:val="en-US" w:eastAsia="zh-CN"/>
        </w:rPr>
        <w:t>整地</w:t>
      </w:r>
      <w:bookmarkEnd w:id="53"/>
    </w:p>
    <w:p w14:paraId="5F06137A">
      <w:pPr>
        <w:pStyle w:val="232"/>
        <w:keepNext w:val="0"/>
        <w:keepLines w:val="0"/>
        <w:pageBreakBefore w:val="0"/>
        <w:widowControl/>
        <w:kinsoku/>
        <w:wordWrap/>
        <w:overflowPunct/>
        <w:topLinePunct w:val="0"/>
        <w:autoSpaceDE w:val="0"/>
        <w:autoSpaceDN w:val="0"/>
        <w:bidi w:val="0"/>
        <w:adjustRightInd/>
        <w:snapToGrid/>
        <w:spacing w:before="50" w:after="50" w:line="360" w:lineRule="exact"/>
        <w:ind w:firstLine="420" w:firstLineChars="200"/>
        <w:textAlignment w:val="auto"/>
        <w:rPr>
          <w:rFonts w:hint="eastAsia" w:ascii="Times New Roman"/>
          <w:sz w:val="21"/>
          <w:szCs w:val="20"/>
        </w:rPr>
      </w:pPr>
      <w:r>
        <w:rPr>
          <w:rFonts w:hint="eastAsia" w:ascii="Times New Roman"/>
          <w:sz w:val="21"/>
          <w:szCs w:val="20"/>
        </w:rPr>
        <w:t>深耕25 cm以上，随耕随耙，耙细耙平。随整地每 667 ㎡施入纯氮 3 kg～5 kg，速效钾 5 kg～10 kg，过速效磷 6 kg～7.5 kg，商品有机肥 40 kg～50 kg 作为基肥。地下害虫严重田块，整地时每667 ㎡均匀撒施3%辛硫磷颗 粒剂2 kg。</w:t>
      </w:r>
      <w:r>
        <w:rPr>
          <w:rFonts w:hint="default" w:ascii="Times New Roman" w:hAnsi="Times New Roman" w:eastAsia="宋体" w:cs="Times New Roman"/>
          <w:sz w:val="21"/>
          <w:lang w:val="en-US" w:eastAsia="zh-CN" w:bidi="ar-SA"/>
        </w:rPr>
        <w:t>肥料施用应符合</w:t>
      </w:r>
      <w:r>
        <w:rPr>
          <w:rFonts w:hint="eastAsia" w:asci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NY/T</w:t>
      </w:r>
      <w:r>
        <w:rPr>
          <w:rFonts w:hint="eastAsia" w:asci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496</w:t>
      </w:r>
      <w:r>
        <w:rPr>
          <w:rFonts w:hint="eastAsia" w:asci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的规定</w:t>
      </w:r>
      <w:r>
        <w:rPr>
          <w:rFonts w:hint="eastAsia" w:ascii="Times New Roman" w:cs="Times New Roman"/>
          <w:sz w:val="21"/>
          <w:lang w:val="en-US" w:eastAsia="zh-CN" w:bidi="ar-SA"/>
        </w:rPr>
        <w:t>，有机肥料</w:t>
      </w:r>
      <w:r>
        <w:rPr>
          <w:rFonts w:hint="default" w:ascii="Times New Roman" w:hAnsi="Times New Roman" w:eastAsia="宋体" w:cs="Times New Roman"/>
          <w:sz w:val="21"/>
          <w:lang w:val="en-US" w:eastAsia="zh-CN" w:bidi="ar-SA"/>
        </w:rPr>
        <w:t>施用应符合</w:t>
      </w:r>
      <w:r>
        <w:rPr>
          <w:rFonts w:hint="eastAsia" w:ascii="Times New Roman" w:cs="Times New Roman"/>
          <w:sz w:val="21"/>
          <w:lang w:val="en-US" w:eastAsia="zh-CN" w:bidi="ar-SA"/>
        </w:rPr>
        <w:t xml:space="preserve"> NY/T 525 的规定，</w:t>
      </w:r>
      <w:r>
        <w:rPr>
          <w:rFonts w:hint="eastAsia" w:ascii="Times New Roman"/>
          <w:sz w:val="21"/>
          <w:szCs w:val="20"/>
        </w:rPr>
        <w:t>药剂使用应符合</w:t>
      </w:r>
      <w:r>
        <w:rPr>
          <w:rFonts w:hint="eastAsia" w:ascii="Times New Roman"/>
          <w:sz w:val="21"/>
          <w:szCs w:val="20"/>
          <w:lang w:val="en-US" w:eastAsia="zh-CN"/>
        </w:rPr>
        <w:t xml:space="preserve"> </w:t>
      </w:r>
      <w:r>
        <w:rPr>
          <w:rFonts w:hint="eastAsia" w:ascii="Times New Roman"/>
          <w:sz w:val="21"/>
          <w:szCs w:val="20"/>
        </w:rPr>
        <w:t>GB/T 8321.10</w:t>
      </w:r>
      <w:r>
        <w:rPr>
          <w:rFonts w:hint="eastAsia" w:ascii="Times New Roman"/>
          <w:sz w:val="21"/>
          <w:szCs w:val="20"/>
          <w:lang w:val="en-US" w:eastAsia="zh-CN"/>
        </w:rPr>
        <w:t xml:space="preserve"> </w:t>
      </w:r>
      <w:r>
        <w:rPr>
          <w:rFonts w:hint="eastAsia" w:ascii="Times New Roman"/>
          <w:sz w:val="21"/>
          <w:szCs w:val="20"/>
        </w:rPr>
        <w:t>的规定。</w:t>
      </w:r>
      <w:bookmarkStart w:id="93" w:name="_GoBack"/>
      <w:bookmarkEnd w:id="93"/>
    </w:p>
    <w:p w14:paraId="014ACF89">
      <w:pPr>
        <w:pStyle w:val="105"/>
        <w:spacing w:before="312" w:after="312"/>
        <w:rPr>
          <w:rFonts w:hint="eastAsia"/>
          <w:lang w:val="en-US" w:eastAsia="zh-CN"/>
        </w:rPr>
      </w:pPr>
      <w:bookmarkStart w:id="54" w:name="_Toc15441"/>
      <w:r>
        <w:rPr>
          <w:rFonts w:hint="eastAsia"/>
          <w:lang w:val="en-US" w:eastAsia="zh-CN"/>
        </w:rPr>
        <w:t>播种</w:t>
      </w:r>
      <w:bookmarkEnd w:id="54"/>
    </w:p>
    <w:p w14:paraId="3B459071">
      <w:pPr>
        <w:pStyle w:val="106"/>
        <w:spacing w:before="156" w:after="156"/>
        <w:rPr>
          <w:rFonts w:hint="default"/>
          <w:lang w:val="en-US" w:eastAsia="zh-CN"/>
        </w:rPr>
      </w:pPr>
      <w:bookmarkStart w:id="55" w:name="_Toc2932"/>
      <w:r>
        <w:rPr>
          <w:rFonts w:hint="default"/>
          <w:lang w:val="en-US" w:eastAsia="zh-CN"/>
        </w:rPr>
        <w:t>播种时间</w:t>
      </w:r>
      <w:bookmarkEnd w:id="55"/>
    </w:p>
    <w:p w14:paraId="380F40FA">
      <w:pPr>
        <w:pStyle w:val="232"/>
        <w:spacing w:before="50" w:after="50" w:line="360" w:lineRule="exact"/>
        <w:ind w:firstLine="440"/>
        <w:rPr>
          <w:rFonts w:hint="default" w:ascii="Times New Roman"/>
          <w:sz w:val="21"/>
          <w:szCs w:val="20"/>
          <w:lang w:val="en-US" w:eastAsia="zh-CN"/>
        </w:rPr>
      </w:pPr>
      <w:r>
        <w:rPr>
          <w:rFonts w:hint="default" w:ascii="Times New Roman"/>
          <w:sz w:val="21"/>
          <w:szCs w:val="20"/>
          <w:lang w:val="en-US" w:eastAsia="zh-CN"/>
        </w:rPr>
        <w:t>蚕豆适宜播期为10月底至11月初。</w:t>
      </w:r>
    </w:p>
    <w:p w14:paraId="495BB544">
      <w:pPr>
        <w:pStyle w:val="106"/>
        <w:spacing w:before="156" w:after="156"/>
        <w:rPr>
          <w:rFonts w:hint="default"/>
          <w:lang w:val="en-US" w:eastAsia="zh-CN"/>
        </w:rPr>
      </w:pPr>
      <w:bookmarkStart w:id="56" w:name="_Toc12611"/>
      <w:r>
        <w:rPr>
          <w:rFonts w:hint="default"/>
          <w:lang w:val="en-US" w:eastAsia="zh-CN"/>
        </w:rPr>
        <w:t>行距配置</w:t>
      </w:r>
      <w:bookmarkEnd w:id="56"/>
    </w:p>
    <w:p w14:paraId="4EFA1088">
      <w:pPr>
        <w:pStyle w:val="66"/>
        <w:spacing w:before="156" w:after="156"/>
        <w:rPr>
          <w:rFonts w:hint="default"/>
          <w:lang w:val="en-US" w:eastAsia="zh-CN"/>
        </w:rPr>
      </w:pPr>
      <w:r>
        <w:rPr>
          <w:rFonts w:hint="default" w:ascii="Times New Roman" w:hAnsi="Times New Roman" w:eastAsia="宋体" w:cs="Times New Roman"/>
          <w:sz w:val="21"/>
          <w:szCs w:val="20"/>
          <w:lang w:val="en-US" w:eastAsia="zh-CN" w:bidi="ar-SA"/>
        </w:rPr>
        <w:t>以采摘青荚为主田块采用宽窄行种植，宽行为 70 cm～80 cm，窄行为 40 cm～50 cm。</w:t>
      </w:r>
    </w:p>
    <w:p w14:paraId="2B8F47B1">
      <w:pPr>
        <w:pStyle w:val="66"/>
        <w:spacing w:before="156" w:after="156"/>
        <w:rPr>
          <w:rFonts w:hint="default" w:ascii="Times New Roman" w:hAnsi="Times New Roman" w:eastAsia="宋体" w:cs="Times New Roman"/>
          <w:spacing w:val="-2"/>
          <w:sz w:val="21"/>
          <w:szCs w:val="21"/>
          <w:lang w:val="en-US" w:eastAsia="zh-CN"/>
        </w:rPr>
      </w:pPr>
      <w:r>
        <w:rPr>
          <w:rFonts w:hint="default" w:ascii="Times New Roman" w:hAnsi="Times New Roman" w:eastAsia="宋体" w:cs="Times New Roman"/>
          <w:sz w:val="21"/>
          <w:szCs w:val="20"/>
          <w:lang w:val="en-US" w:eastAsia="zh-CN" w:bidi="ar-SA"/>
        </w:rPr>
        <w:t>以收获干籽粒蚕豆为主采用等行距种植，行距为 50 cm～60 cm。</w:t>
      </w:r>
    </w:p>
    <w:p w14:paraId="2FBA326E">
      <w:pPr>
        <w:pStyle w:val="106"/>
        <w:spacing w:before="156" w:after="156"/>
        <w:rPr>
          <w:rFonts w:hint="default"/>
          <w:lang w:val="en-US" w:eastAsia="zh-CN"/>
        </w:rPr>
      </w:pPr>
      <w:bookmarkStart w:id="57" w:name="_Toc22815"/>
      <w:r>
        <w:rPr>
          <w:rFonts w:hint="default"/>
          <w:lang w:val="en-US" w:eastAsia="zh-CN"/>
        </w:rPr>
        <w:t>播种密度</w:t>
      </w:r>
      <w:bookmarkEnd w:id="57"/>
    </w:p>
    <w:p w14:paraId="41ADF447">
      <w:pPr>
        <w:pStyle w:val="66"/>
        <w:spacing w:before="156" w:after="156"/>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0"/>
          <w:lang w:val="en-US" w:eastAsia="en-US" w:bidi="ar-SA"/>
        </w:rPr>
        <w:t>采用穴播地块，穴距 20 cm～25 cm，穴播 2 粒～3 粒，每亩 5000 穴～6000 穴</w:t>
      </w:r>
      <w:r>
        <w:rPr>
          <w:rFonts w:hint="default" w:ascii="Times New Roman" w:hAnsi="Times New Roman" w:eastAsia="宋体" w:cs="Times New Roman"/>
          <w:sz w:val="21"/>
          <w:szCs w:val="20"/>
          <w:lang w:val="en-US" w:eastAsia="zh-CN" w:bidi="ar-SA"/>
        </w:rPr>
        <w:t>。</w:t>
      </w:r>
    </w:p>
    <w:p w14:paraId="449A17C9">
      <w:pPr>
        <w:pStyle w:val="66"/>
        <w:spacing w:before="156" w:after="156"/>
        <w:rPr>
          <w:rFonts w:hint="default" w:ascii="Times New Roman" w:hAnsi="Times New Roman" w:eastAsia="宋体" w:cs="Times New Roman"/>
          <w:sz w:val="21"/>
          <w:szCs w:val="21"/>
        </w:rPr>
      </w:pPr>
      <w:r>
        <w:rPr>
          <w:rFonts w:hint="default" w:ascii="Times New Roman" w:hAnsi="Times New Roman" w:eastAsia="宋体" w:cs="Times New Roman"/>
          <w:sz w:val="21"/>
          <w:szCs w:val="20"/>
          <w:lang w:val="en-US" w:eastAsia="en-US" w:bidi="ar-SA"/>
        </w:rPr>
        <w:t xml:space="preserve">采用条播地块，每 667 ㎡留苗 1.0 万～1.5 万株。 </w:t>
      </w:r>
    </w:p>
    <w:p w14:paraId="33224114">
      <w:pPr>
        <w:pStyle w:val="106"/>
        <w:spacing w:before="156" w:after="156"/>
        <w:rPr>
          <w:rFonts w:hint="default"/>
          <w:lang w:val="en-US" w:eastAsia="zh-CN"/>
        </w:rPr>
      </w:pPr>
      <w:bookmarkStart w:id="58" w:name="_Toc23779"/>
      <w:r>
        <w:rPr>
          <w:rFonts w:hint="default"/>
          <w:lang w:val="en-US" w:eastAsia="zh-CN"/>
        </w:rPr>
        <w:t>播种质量</w:t>
      </w:r>
      <w:bookmarkEnd w:id="58"/>
    </w:p>
    <w:p w14:paraId="6EB64EF4">
      <w:pPr>
        <w:pStyle w:val="66"/>
        <w:spacing w:before="156" w:after="156"/>
        <w:rPr>
          <w:rFonts w:hint="default" w:ascii="Times New Roman" w:hAnsi="Times New Roman" w:eastAsia="宋体" w:cs="Times New Roman"/>
          <w:spacing w:val="-2"/>
          <w:sz w:val="21"/>
          <w:szCs w:val="21"/>
        </w:rPr>
      </w:pPr>
      <w:r>
        <w:rPr>
          <w:rFonts w:hint="default" w:ascii="Times New Roman" w:hAnsi="Times New Roman" w:eastAsia="宋体" w:cs="Times New Roman"/>
          <w:sz w:val="21"/>
          <w:szCs w:val="20"/>
          <w:lang w:val="en-US" w:eastAsia="en-US" w:bidi="ar-SA"/>
        </w:rPr>
        <w:t>土壤干旱时，播前灌水造墒，使播种时土壤相对含水量控制在 70%～80%。</w:t>
      </w:r>
    </w:p>
    <w:p w14:paraId="22FB1DC5">
      <w:pPr>
        <w:pStyle w:val="66"/>
        <w:spacing w:before="156" w:after="156"/>
        <w:rPr>
          <w:rFonts w:hint="default" w:ascii="Times New Roman" w:hAnsi="Times New Roman" w:eastAsia="宋体" w:cs="Times New Roman"/>
          <w:spacing w:val="-2"/>
          <w:sz w:val="21"/>
          <w:szCs w:val="21"/>
          <w:lang w:val="en-US" w:eastAsia="zh-CN"/>
        </w:rPr>
      </w:pPr>
      <w:r>
        <w:rPr>
          <w:rFonts w:hint="default" w:ascii="Times New Roman" w:hAnsi="Times New Roman" w:eastAsia="宋体" w:cs="Times New Roman"/>
          <w:sz w:val="21"/>
          <w:szCs w:val="20"/>
          <w:lang w:val="en-US" w:eastAsia="en-US" w:bidi="ar-SA"/>
        </w:rPr>
        <w:t>蚕豆播深 5 cm～6 cm，</w:t>
      </w:r>
      <w:r>
        <w:rPr>
          <w:rFonts w:hint="default" w:ascii="Times New Roman" w:hAnsi="Times New Roman" w:eastAsia="宋体" w:cs="Times New Roman"/>
          <w:sz w:val="21"/>
          <w:szCs w:val="20"/>
          <w:lang w:val="en-US" w:eastAsia="zh-CN" w:bidi="ar-SA"/>
        </w:rPr>
        <w:t>播后及时覆土镇压。</w:t>
      </w:r>
    </w:p>
    <w:p w14:paraId="7D052C12">
      <w:pPr>
        <w:pStyle w:val="105"/>
        <w:spacing w:before="312" w:after="312"/>
        <w:rPr>
          <w:rFonts w:hint="eastAsia"/>
          <w:lang w:val="en-US" w:eastAsia="zh-CN"/>
        </w:rPr>
      </w:pPr>
      <w:bookmarkStart w:id="59" w:name="_Toc18943"/>
      <w:r>
        <w:rPr>
          <w:rFonts w:hint="eastAsia"/>
          <w:lang w:val="en-US" w:eastAsia="zh-CN"/>
        </w:rPr>
        <w:t>田间管理</w:t>
      </w:r>
      <w:bookmarkEnd w:id="59"/>
    </w:p>
    <w:p w14:paraId="78FFE8B0">
      <w:pPr>
        <w:pStyle w:val="106"/>
        <w:spacing w:before="156" w:after="156"/>
        <w:rPr>
          <w:rFonts w:hint="eastAsia"/>
          <w:lang w:val="en-US" w:eastAsia="zh-CN"/>
        </w:rPr>
      </w:pPr>
      <w:bookmarkStart w:id="60" w:name="_Toc6691"/>
      <w:r>
        <w:rPr>
          <w:rFonts w:hint="eastAsia"/>
          <w:lang w:val="en-US" w:eastAsia="zh-CN"/>
        </w:rPr>
        <w:t>补苗间苗</w:t>
      </w:r>
      <w:bookmarkEnd w:id="60"/>
    </w:p>
    <w:p w14:paraId="3F7C98F1">
      <w:pPr>
        <w:pStyle w:val="14"/>
        <w:spacing w:before="216" w:line="227" w:lineRule="auto"/>
        <w:ind w:left="4" w:firstLine="420" w:firstLineChars="200"/>
        <w:rPr>
          <w:rFonts w:hint="default" w:ascii="Times New Roman" w:hAnsi="Times New Roman" w:eastAsia="宋体" w:cs="Times New Roman"/>
          <w:sz w:val="21"/>
          <w:szCs w:val="20"/>
          <w:lang w:val="en-US" w:eastAsia="zh-CN" w:bidi="ar-SA"/>
        </w:rPr>
      </w:pPr>
      <w:r>
        <w:rPr>
          <w:rFonts w:hint="default" w:ascii="Times New Roman" w:hAnsi="Times New Roman" w:eastAsia="宋体" w:cs="Times New Roman"/>
          <w:sz w:val="21"/>
          <w:szCs w:val="20"/>
          <w:lang w:val="en-US" w:eastAsia="en-US" w:bidi="ar-SA"/>
        </w:rPr>
        <w:t>幼苗出土后，及时查苗补缺</w:t>
      </w:r>
      <w:r>
        <w:rPr>
          <w:rFonts w:hint="eastAsia" w:ascii="Times New Roman" w:hAnsi="Times New Roman" w:cs="Times New Roman"/>
          <w:sz w:val="21"/>
          <w:szCs w:val="20"/>
          <w:lang w:val="en-US" w:eastAsia="zh-CN" w:bidi="ar-SA"/>
        </w:rPr>
        <w:t>，</w:t>
      </w:r>
      <w:r>
        <w:rPr>
          <w:rFonts w:hint="default" w:ascii="Times New Roman" w:hAnsi="Times New Roman" w:eastAsia="宋体" w:cs="Times New Roman"/>
          <w:sz w:val="21"/>
          <w:szCs w:val="20"/>
          <w:lang w:val="en-US" w:eastAsia="en-US" w:bidi="ar-SA"/>
        </w:rPr>
        <w:t>过密</w:t>
      </w:r>
      <w:r>
        <w:rPr>
          <w:rFonts w:hint="eastAsia" w:ascii="Times New Roman" w:hAnsi="Times New Roman" w:eastAsia="宋体" w:cs="Times New Roman"/>
          <w:sz w:val="21"/>
          <w:szCs w:val="20"/>
          <w:lang w:val="en-US" w:eastAsia="en-US" w:bidi="ar-SA"/>
        </w:rPr>
        <w:t>应</w:t>
      </w:r>
      <w:r>
        <w:rPr>
          <w:rFonts w:hint="default" w:ascii="Times New Roman" w:hAnsi="Times New Roman" w:eastAsia="宋体" w:cs="Times New Roman"/>
          <w:sz w:val="21"/>
          <w:szCs w:val="20"/>
          <w:lang w:val="en-US" w:eastAsia="en-US" w:bidi="ar-SA"/>
        </w:rPr>
        <w:t>及早间苗定苗。</w:t>
      </w:r>
    </w:p>
    <w:p w14:paraId="0293D745">
      <w:pPr>
        <w:pStyle w:val="106"/>
        <w:spacing w:before="156" w:after="156"/>
        <w:rPr>
          <w:rFonts w:hint="default" w:ascii="Times New Roman"/>
          <w:sz w:val="21"/>
          <w:szCs w:val="20"/>
          <w:lang w:val="en-US" w:eastAsia="zh-CN"/>
        </w:rPr>
      </w:pPr>
      <w:bookmarkStart w:id="61" w:name="_Toc8515"/>
      <w:r>
        <w:rPr>
          <w:rFonts w:hint="eastAsia"/>
          <w:lang w:val="en-US" w:eastAsia="zh-CN"/>
        </w:rPr>
        <w:t>追</w:t>
      </w:r>
      <w:r>
        <w:rPr>
          <w:rFonts w:hint="default"/>
          <w:lang w:val="en-US" w:eastAsia="zh-CN"/>
        </w:rPr>
        <w:t>肥</w:t>
      </w:r>
      <w:bookmarkEnd w:id="61"/>
    </w:p>
    <w:p w14:paraId="548780B8">
      <w:pPr>
        <w:pStyle w:val="232"/>
        <w:spacing w:before="50" w:after="50" w:line="360" w:lineRule="exact"/>
        <w:ind w:firstLine="420"/>
        <w:rPr>
          <w:rFonts w:hint="eastAsia" w:ascii="Times New Roman" w:eastAsia="宋体"/>
          <w:sz w:val="21"/>
          <w:lang w:eastAsia="zh-CN"/>
        </w:rPr>
      </w:pPr>
      <w:r>
        <w:rPr>
          <w:rFonts w:hint="eastAsia" w:ascii="Times New Roman"/>
          <w:sz w:val="21"/>
        </w:rPr>
        <w:t>初花期根据田间长势每</w:t>
      </w:r>
      <w:r>
        <w:rPr>
          <w:rFonts w:ascii="Times New Roman"/>
          <w:sz w:val="21"/>
        </w:rPr>
        <w:t xml:space="preserve"> 667 </w:t>
      </w:r>
      <w:r>
        <w:rPr>
          <w:rFonts w:hint="eastAsia" w:ascii="Times New Roman"/>
          <w:sz w:val="21"/>
        </w:rPr>
        <w:t>㎡追施尿素</w:t>
      </w:r>
      <w:r>
        <w:rPr>
          <w:rFonts w:ascii="Times New Roman"/>
          <w:sz w:val="21"/>
        </w:rPr>
        <w:t>4kg</w:t>
      </w:r>
      <w:r>
        <w:rPr>
          <w:rFonts w:hint="eastAsia" w:ascii="Times New Roman"/>
          <w:sz w:val="21"/>
        </w:rPr>
        <w:t>～</w:t>
      </w:r>
      <w:r>
        <w:rPr>
          <w:rFonts w:ascii="Times New Roman"/>
          <w:sz w:val="21"/>
        </w:rPr>
        <w:t>10kg</w:t>
      </w:r>
      <w:r>
        <w:rPr>
          <w:rFonts w:hint="eastAsia" w:ascii="Times New Roman"/>
          <w:sz w:val="21"/>
          <w:lang w:eastAsia="zh-CN"/>
        </w:rPr>
        <w:t>。</w:t>
      </w:r>
    </w:p>
    <w:p w14:paraId="13AFD36C">
      <w:pPr>
        <w:pStyle w:val="232"/>
        <w:keepNext w:val="0"/>
        <w:keepLines w:val="0"/>
        <w:pageBreakBefore w:val="0"/>
        <w:widowControl/>
        <w:kinsoku/>
        <w:wordWrap/>
        <w:overflowPunct/>
        <w:topLinePunct w:val="0"/>
        <w:autoSpaceDE w:val="0"/>
        <w:autoSpaceDN w:val="0"/>
        <w:bidi w:val="0"/>
        <w:adjustRightInd/>
        <w:snapToGrid/>
        <w:spacing w:before="50" w:after="50" w:line="360" w:lineRule="exact"/>
        <w:ind w:firstLine="420" w:firstLineChars="200"/>
        <w:textAlignment w:val="auto"/>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盛花期每 667 ㎡用磷酸二氢钾 150 g～200 g，硼砂 100 g 叶面喷施。肥料施用应符合</w:t>
      </w:r>
      <w:r>
        <w:rPr>
          <w:rFonts w:hint="eastAsia" w:asci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NY/T</w:t>
      </w:r>
    </w:p>
    <w:p w14:paraId="7119C0A0">
      <w:pPr>
        <w:pStyle w:val="232"/>
        <w:keepNext w:val="0"/>
        <w:keepLines w:val="0"/>
        <w:pageBreakBefore w:val="0"/>
        <w:widowControl/>
        <w:kinsoku/>
        <w:wordWrap/>
        <w:overflowPunct/>
        <w:topLinePunct w:val="0"/>
        <w:autoSpaceDE w:val="0"/>
        <w:autoSpaceDN w:val="0"/>
        <w:bidi w:val="0"/>
        <w:adjustRightInd/>
        <w:snapToGrid/>
        <w:spacing w:before="50" w:after="50" w:line="360" w:lineRule="exact"/>
        <w:ind w:firstLine="0" w:firstLineChars="0"/>
        <w:textAlignment w:val="auto"/>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496 的规定。</w:t>
      </w:r>
    </w:p>
    <w:p w14:paraId="2DC2E534">
      <w:pPr>
        <w:pStyle w:val="106"/>
        <w:spacing w:before="156" w:after="156"/>
        <w:rPr>
          <w:rFonts w:hint="default"/>
          <w:lang w:val="en-US" w:eastAsia="zh-CN"/>
        </w:rPr>
      </w:pPr>
      <w:bookmarkStart w:id="62" w:name="_Toc11120"/>
      <w:r>
        <w:rPr>
          <w:rFonts w:hint="eastAsia"/>
          <w:lang w:val="en-US" w:eastAsia="zh-CN"/>
        </w:rPr>
        <w:t>中耕除草</w:t>
      </w:r>
      <w:bookmarkEnd w:id="62"/>
    </w:p>
    <w:p w14:paraId="1253A5E3">
      <w:pPr>
        <w:pStyle w:val="232"/>
        <w:keepNext w:val="0"/>
        <w:keepLines w:val="0"/>
        <w:pageBreakBefore w:val="0"/>
        <w:widowControl/>
        <w:kinsoku/>
        <w:wordWrap/>
        <w:overflowPunct/>
        <w:topLinePunct w:val="0"/>
        <w:autoSpaceDE w:val="0"/>
        <w:autoSpaceDN w:val="0"/>
        <w:bidi w:val="0"/>
        <w:adjustRightInd/>
        <w:snapToGrid/>
        <w:spacing w:before="50" w:after="50" w:line="360" w:lineRule="exact"/>
        <w:ind w:firstLine="420" w:firstLineChars="200"/>
        <w:textAlignment w:val="auto"/>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播后苗前每667 ㎡用72 g/L异丙甲草胺120 ml～150 ml兑水30 kg～40 kg进行土壤封闭，</w:t>
      </w:r>
      <w:r>
        <w:rPr>
          <w:rFonts w:hint="eastAsia" w:ascii="Times New Roman" w:hAnsi="Times New Roman" w:eastAsia="宋体" w:cs="Times New Roman"/>
          <w:sz w:val="21"/>
          <w:lang w:val="en-US" w:eastAsia="zh-CN" w:bidi="ar-SA"/>
        </w:rPr>
        <w:t>结合查苗补苗进行第一次中耕，冬至前后进行中耕培土确保蚕豆安全越冬，</w:t>
      </w:r>
      <w:r>
        <w:rPr>
          <w:rFonts w:hint="default" w:ascii="Times New Roman" w:hAnsi="Times New Roman" w:eastAsia="宋体" w:cs="Times New Roman"/>
          <w:sz w:val="21"/>
          <w:lang w:val="en-US" w:eastAsia="zh-CN" w:bidi="ar-SA"/>
        </w:rPr>
        <w:t>3月初蚕豆封垄前</w:t>
      </w:r>
      <w:r>
        <w:rPr>
          <w:rFonts w:hint="eastAsia" w:ascii="Times New Roman" w:hAnsi="Times New Roman" w:eastAsia="宋体" w:cs="Times New Roman"/>
          <w:sz w:val="21"/>
          <w:lang w:val="en-US" w:eastAsia="zh-CN" w:bidi="ar-SA"/>
        </w:rPr>
        <w:t>结合中耕培土</w:t>
      </w:r>
      <w:r>
        <w:rPr>
          <w:rFonts w:hint="default" w:ascii="Times New Roman" w:hAnsi="Times New Roman" w:eastAsia="宋体" w:cs="Times New Roman"/>
          <w:sz w:val="21"/>
          <w:lang w:val="en-US" w:eastAsia="zh-CN" w:bidi="ar-SA"/>
        </w:rPr>
        <w:t>每667 ㎡用48%苯达松100 ml～150 ml、</w:t>
      </w:r>
      <w:r>
        <w:rPr>
          <w:rFonts w:ascii="Times New Roman"/>
          <w:sz w:val="21"/>
        </w:rPr>
        <w:t>10.8%</w:t>
      </w:r>
      <w:r>
        <w:rPr>
          <w:rFonts w:hint="eastAsia" w:ascii="Times New Roman"/>
          <w:sz w:val="21"/>
        </w:rPr>
        <w:t>高效氟吡甲禾灵</w:t>
      </w:r>
      <w:r>
        <w:rPr>
          <w:rFonts w:ascii="Times New Roman"/>
          <w:sz w:val="21"/>
        </w:rPr>
        <w:t>40 ml</w:t>
      </w:r>
      <w:r>
        <w:rPr>
          <w:rFonts w:hint="eastAsia" w:ascii="Times New Roman"/>
          <w:sz w:val="21"/>
        </w:rPr>
        <w:t>～</w:t>
      </w:r>
      <w:r>
        <w:rPr>
          <w:rFonts w:ascii="Times New Roman"/>
          <w:sz w:val="21"/>
        </w:rPr>
        <w:t>60 ml</w:t>
      </w:r>
      <w:r>
        <w:rPr>
          <w:rFonts w:hint="eastAsia" w:ascii="Times New Roman"/>
          <w:sz w:val="21"/>
        </w:rPr>
        <w:t>兑水</w:t>
      </w:r>
      <w:r>
        <w:rPr>
          <w:rFonts w:ascii="Times New Roman"/>
          <w:sz w:val="21"/>
        </w:rPr>
        <w:t>30 kg</w:t>
      </w:r>
      <w:r>
        <w:rPr>
          <w:rFonts w:hint="eastAsia" w:ascii="Times New Roman"/>
          <w:sz w:val="21"/>
        </w:rPr>
        <w:t>～</w:t>
      </w:r>
      <w:r>
        <w:rPr>
          <w:rFonts w:ascii="Times New Roman"/>
          <w:sz w:val="21"/>
        </w:rPr>
        <w:t>40 kg</w:t>
      </w:r>
      <w:r>
        <w:rPr>
          <w:rFonts w:hint="default" w:ascii="Times New Roman" w:hAnsi="Times New Roman" w:eastAsia="宋体" w:cs="Times New Roman"/>
          <w:sz w:val="21"/>
          <w:lang w:val="en-US" w:eastAsia="zh-CN" w:bidi="ar-SA"/>
        </w:rPr>
        <w:t>进行茎叶处理。药剂使用符合</w:t>
      </w:r>
      <w:r>
        <w:rPr>
          <w:rFonts w:hint="eastAsia" w:asci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GB/T 8321.10</w:t>
      </w:r>
      <w:r>
        <w:rPr>
          <w:rFonts w:hint="eastAsia" w:ascii="Times New Roman" w:cs="Times New Roman"/>
          <w:sz w:val="21"/>
          <w:lang w:val="en-US" w:eastAsia="zh-CN" w:bidi="ar-SA"/>
        </w:rPr>
        <w:t xml:space="preserve"> </w:t>
      </w:r>
      <w:r>
        <w:rPr>
          <w:rFonts w:hint="default" w:ascii="Times New Roman" w:hAnsi="Times New Roman" w:eastAsia="宋体" w:cs="Times New Roman"/>
          <w:sz w:val="21"/>
          <w:lang w:val="en-US" w:eastAsia="zh-CN" w:bidi="ar-SA"/>
        </w:rPr>
        <w:t>规定。</w:t>
      </w:r>
    </w:p>
    <w:p w14:paraId="1FA5DC47">
      <w:pPr>
        <w:pStyle w:val="106"/>
        <w:spacing w:before="156" w:after="156"/>
        <w:rPr>
          <w:rFonts w:hint="eastAsia"/>
          <w:lang w:val="en-US" w:eastAsia="zh-CN"/>
        </w:rPr>
      </w:pPr>
      <w:bookmarkStart w:id="63" w:name="_Toc23475"/>
      <w:r>
        <w:rPr>
          <w:rFonts w:hint="eastAsia"/>
          <w:lang w:val="en-US" w:eastAsia="zh-CN"/>
        </w:rPr>
        <w:t>水分管理</w:t>
      </w:r>
      <w:bookmarkEnd w:id="63"/>
    </w:p>
    <w:p w14:paraId="27652FAF">
      <w:pPr>
        <w:pStyle w:val="66"/>
        <w:spacing w:before="156" w:after="156"/>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播种出苗期土壤相对含水量控制在 70%～80%，遇旱及时灌水，遇雨及时排除田间积</w:t>
      </w:r>
      <w:r>
        <w:rPr>
          <w:rFonts w:hint="eastAsia" w:ascii="Times New Roman" w:eastAsia="宋体" w:cs="Times New Roman"/>
          <w:sz w:val="21"/>
          <w:lang w:val="en-US" w:eastAsia="zh-CN" w:bidi="ar-SA"/>
        </w:rPr>
        <w:t>水。</w:t>
      </w:r>
    </w:p>
    <w:p w14:paraId="7A1F5F76">
      <w:pPr>
        <w:pStyle w:val="66"/>
        <w:spacing w:before="156" w:after="156"/>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幼苗期土壤相对含水量控制在 60%～70%，遇雨及时排除田间积水。</w:t>
      </w:r>
    </w:p>
    <w:p w14:paraId="3E8D9F1D">
      <w:pPr>
        <w:pStyle w:val="66"/>
        <w:spacing w:before="156" w:after="156"/>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开花期土壤相对含水量控制在 70%～80%，遇旱及时灌水，遇雨及时排除田间积水。</w:t>
      </w:r>
    </w:p>
    <w:p w14:paraId="1D3AE2D4">
      <w:pPr>
        <w:pStyle w:val="106"/>
        <w:spacing w:before="156" w:after="156"/>
        <w:rPr>
          <w:rFonts w:hint="default" w:ascii="Times New Roman" w:hAnsi="Times New Roman" w:eastAsia="宋体" w:cs="Times New Roman"/>
          <w:sz w:val="21"/>
          <w:lang w:val="en-US" w:eastAsia="zh-CN" w:bidi="ar-SA"/>
        </w:rPr>
      </w:pPr>
      <w:bookmarkStart w:id="64" w:name="_Toc5690"/>
      <w:r>
        <w:rPr>
          <w:rFonts w:hint="eastAsia"/>
          <w:lang w:val="en-US" w:eastAsia="zh-CN"/>
        </w:rPr>
        <w:t>摘</w:t>
      </w:r>
      <w:r>
        <w:rPr>
          <w:rFonts w:hint="default"/>
          <w:lang w:val="en-US" w:eastAsia="zh-CN"/>
        </w:rPr>
        <w:t>心打顶</w:t>
      </w:r>
      <w:bookmarkEnd w:id="64"/>
    </w:p>
    <w:p w14:paraId="7D79EDA0">
      <w:pPr>
        <w:pStyle w:val="66"/>
        <w:spacing w:before="156" w:after="156"/>
        <w:rPr>
          <w:rFonts w:hint="eastAsia" w:ascii="Times New Roman" w:hAnsi="Times New Roman" w:eastAsia="宋体" w:cs="Times New Roman"/>
          <w:sz w:val="21"/>
          <w:szCs w:val="21"/>
          <w:lang w:eastAsia="zh-CN"/>
        </w:rPr>
      </w:pPr>
      <w:r>
        <w:rPr>
          <w:rFonts w:hint="default" w:ascii="Times New Roman" w:hAnsi="Times New Roman" w:eastAsia="宋体" w:cs="Times New Roman"/>
          <w:sz w:val="21"/>
          <w:lang w:val="en-US" w:eastAsia="zh-CN" w:bidi="ar-SA"/>
        </w:rPr>
        <w:t>在株高 10 cm～12 cm，主茎 5 片～6 片</w:t>
      </w:r>
      <w:r>
        <w:rPr>
          <w:rFonts w:hint="eastAsia" w:ascii="Times New Roman" w:hAnsi="Times New Roman" w:eastAsia="宋体" w:cs="Times New Roman"/>
          <w:sz w:val="21"/>
          <w:lang w:val="en-US" w:eastAsia="zh-CN" w:bidi="ar-SA"/>
        </w:rPr>
        <w:t>复</w:t>
      </w:r>
      <w:r>
        <w:rPr>
          <w:rFonts w:hint="default" w:ascii="Times New Roman" w:hAnsi="Times New Roman" w:eastAsia="宋体" w:cs="Times New Roman"/>
          <w:sz w:val="21"/>
          <w:lang w:val="en-US" w:eastAsia="zh-CN" w:bidi="ar-SA"/>
        </w:rPr>
        <w:t>叶时进行摘心，去除主茎顶端</w:t>
      </w:r>
      <w:r>
        <w:rPr>
          <w:rFonts w:hint="eastAsia" w:ascii="Times New Roman" w:hAnsi="Times New Roman" w:eastAsia="宋体" w:cs="Times New Roman"/>
          <w:sz w:val="21"/>
          <w:lang w:val="en-US" w:eastAsia="zh-CN" w:bidi="ar-SA"/>
        </w:rPr>
        <w:t>。</w:t>
      </w:r>
    </w:p>
    <w:p w14:paraId="2E92AEAF">
      <w:pPr>
        <w:pStyle w:val="66"/>
        <w:spacing w:before="156" w:after="156"/>
        <w:rPr>
          <w:rFonts w:hint="eastAsia"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当田间将近一半的植株茎部已结 2 荚～3 荚，并且荚长 2 cm～3 cm，植株平均有 8 层～10 层 花时进行打顶，去除分枝的顶端</w:t>
      </w:r>
      <w:r>
        <w:rPr>
          <w:rFonts w:hint="eastAsia" w:ascii="Times New Roman" w:hAnsi="Times New Roman" w:eastAsia="宋体" w:cs="Times New Roman"/>
          <w:sz w:val="21"/>
          <w:lang w:val="en-US" w:eastAsia="zh-CN" w:bidi="ar-SA"/>
        </w:rPr>
        <w:t>。</w:t>
      </w:r>
    </w:p>
    <w:p w14:paraId="253CA57B">
      <w:pPr>
        <w:pStyle w:val="66"/>
        <w:spacing w:before="156" w:after="156"/>
        <w:rPr>
          <w:rFonts w:hint="eastAsia"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摘心长度 3 cm～4 cm，打顶长度 3 cm～6 cm</w:t>
      </w:r>
      <w:r>
        <w:rPr>
          <w:rFonts w:hint="eastAsia" w:ascii="Times New Roman" w:hAnsi="Times New Roman" w:eastAsia="宋体" w:cs="Times New Roman"/>
          <w:sz w:val="21"/>
          <w:lang w:val="en-US" w:eastAsia="zh-CN" w:bidi="ar-SA"/>
        </w:rPr>
        <w:t>为宜。</w:t>
      </w:r>
    </w:p>
    <w:p w14:paraId="52791EBB">
      <w:pPr>
        <w:pStyle w:val="66"/>
        <w:spacing w:before="156" w:after="156"/>
        <w:rPr>
          <w:rFonts w:hint="default" w:ascii="Times New Roman" w:hAnsi="Times New Roman" w:eastAsia="宋体" w:cs="Times New Roman"/>
          <w:sz w:val="21"/>
          <w:szCs w:val="21"/>
        </w:rPr>
      </w:pPr>
      <w:r>
        <w:rPr>
          <w:rFonts w:hint="eastAsia" w:ascii="Times New Roman" w:hAnsi="Times New Roman" w:eastAsia="宋体" w:cs="Times New Roman"/>
          <w:sz w:val="21"/>
          <w:lang w:val="en-US" w:eastAsia="zh-CN" w:bidi="ar-SA"/>
        </w:rPr>
        <w:t>打顶原则：</w:t>
      </w:r>
      <w:r>
        <w:rPr>
          <w:rFonts w:hint="default" w:ascii="Times New Roman" w:hAnsi="Times New Roman" w:eastAsia="宋体" w:cs="Times New Roman"/>
          <w:sz w:val="21"/>
          <w:lang w:val="en-US" w:eastAsia="zh-CN" w:bidi="ar-SA"/>
        </w:rPr>
        <w:t>应在晴天中午进行，</w:t>
      </w:r>
      <w:r>
        <w:rPr>
          <w:rFonts w:hint="eastAsia" w:ascii="Times New Roman" w:hAnsi="Times New Roman" w:eastAsia="宋体" w:cs="Times New Roman"/>
          <w:sz w:val="21"/>
          <w:lang w:val="en-US" w:eastAsia="zh-CN" w:bidi="ar-SA"/>
        </w:rPr>
        <w:t>防</w:t>
      </w:r>
      <w:r>
        <w:rPr>
          <w:rFonts w:hint="eastAsia" w:ascii="Times New Roman" w:eastAsia="宋体" w:cs="Times New Roman"/>
          <w:sz w:val="21"/>
          <w:lang w:val="en-US" w:eastAsia="zh-CN" w:bidi="ar-SA"/>
        </w:rPr>
        <w:t>止</w:t>
      </w:r>
      <w:r>
        <w:rPr>
          <w:rFonts w:hint="eastAsia" w:ascii="Times New Roman" w:hAnsi="Times New Roman" w:eastAsia="宋体" w:cs="Times New Roman"/>
          <w:sz w:val="21"/>
          <w:lang w:val="en-US" w:eastAsia="zh-CN" w:bidi="ar-SA"/>
        </w:rPr>
        <w:t>阴雨伤口霉烂；</w:t>
      </w:r>
      <w:r>
        <w:rPr>
          <w:rFonts w:hint="eastAsia" w:ascii="Times New Roman" w:eastAsia="宋体"/>
        </w:rPr>
        <w:t>错过打顶时间或长势差或遭遇过冻害或病毒病严重的地块不进行打顶。</w:t>
      </w:r>
    </w:p>
    <w:p w14:paraId="2E98A871">
      <w:pPr>
        <w:pStyle w:val="105"/>
        <w:spacing w:before="312" w:after="312"/>
        <w:rPr>
          <w:rFonts w:hint="default"/>
          <w:lang w:val="en-US" w:eastAsia="zh-CN"/>
        </w:rPr>
      </w:pPr>
      <w:bookmarkStart w:id="65" w:name="_Toc7583"/>
      <w:r>
        <w:rPr>
          <w:rFonts w:hint="default"/>
          <w:lang w:val="en-US" w:eastAsia="zh-CN"/>
        </w:rPr>
        <w:t>病虫害防治</w:t>
      </w:r>
      <w:bookmarkEnd w:id="65"/>
    </w:p>
    <w:p w14:paraId="31555023">
      <w:pPr>
        <w:pStyle w:val="106"/>
        <w:spacing w:before="156" w:after="156"/>
        <w:rPr>
          <w:rFonts w:hint="eastAsia"/>
          <w:lang w:val="en-US" w:eastAsia="zh-CN"/>
        </w:rPr>
      </w:pPr>
      <w:bookmarkStart w:id="66" w:name="_Toc22446"/>
      <w:r>
        <w:rPr>
          <w:rFonts w:hint="eastAsia"/>
          <w:lang w:val="en-US" w:eastAsia="zh-CN"/>
        </w:rPr>
        <w:t>防治原则</w:t>
      </w:r>
      <w:bookmarkEnd w:id="66"/>
    </w:p>
    <w:p w14:paraId="582AA9B4">
      <w:pPr>
        <w:pStyle w:val="14"/>
        <w:spacing w:before="30" w:line="221" w:lineRule="auto"/>
        <w:ind w:left="1" w:firstLine="420" w:firstLineChars="20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病虫害防治应坚持绿色防控，优先采用农业防治、物理防治、生物防治，合理使用化学防治。</w:t>
      </w:r>
    </w:p>
    <w:p w14:paraId="75C235E2">
      <w:pPr>
        <w:pStyle w:val="106"/>
        <w:spacing w:before="156" w:after="156"/>
        <w:rPr>
          <w:rFonts w:hint="default"/>
          <w:lang w:val="en-US" w:eastAsia="zh-CN"/>
        </w:rPr>
      </w:pPr>
      <w:bookmarkStart w:id="67" w:name="_Toc6458"/>
      <w:r>
        <w:rPr>
          <w:rFonts w:hint="default"/>
          <w:lang w:val="en-US" w:eastAsia="zh-CN"/>
        </w:rPr>
        <w:t>常见病虫害</w:t>
      </w:r>
      <w:bookmarkEnd w:id="67"/>
    </w:p>
    <w:p w14:paraId="433E24E1">
      <w:pPr>
        <w:spacing w:before="218" w:line="221" w:lineRule="auto"/>
        <w:ind w:firstLine="420" w:firstLineChars="200"/>
        <w:rPr>
          <w:rFonts w:hint="default" w:ascii="Times New Roman" w:hAnsi="Times New Roman" w:eastAsia="宋体" w:cs="Times New Roman"/>
          <w:sz w:val="21"/>
          <w:szCs w:val="21"/>
        </w:rPr>
      </w:pPr>
      <w:r>
        <w:rPr>
          <w:rFonts w:hint="default" w:ascii="Times New Roman" w:hAnsi="Times New Roman" w:eastAsia="宋体" w:cs="Times New Roman"/>
          <w:kern w:val="0"/>
          <w:sz w:val="21"/>
          <w:szCs w:val="20"/>
          <w:lang w:val="en-US" w:eastAsia="zh-CN" w:bidi="ar-SA"/>
        </w:rPr>
        <w:t>常见病害：赤斑病、病毒病、根腐病、锈病。常见虫害：蚜虫、潜叶蝇、蚕豆象以及夜蛾类害虫。</w:t>
      </w:r>
    </w:p>
    <w:p w14:paraId="2B224412">
      <w:pPr>
        <w:pStyle w:val="106"/>
        <w:spacing w:before="156" w:after="156"/>
        <w:rPr>
          <w:rFonts w:hint="default"/>
          <w:lang w:val="en-US" w:eastAsia="zh-CN"/>
        </w:rPr>
      </w:pPr>
      <w:bookmarkStart w:id="68" w:name="_Toc9247"/>
      <w:r>
        <w:rPr>
          <w:rFonts w:hint="default"/>
          <w:lang w:val="en-US" w:eastAsia="zh-CN"/>
        </w:rPr>
        <w:t>农业防治</w:t>
      </w:r>
      <w:bookmarkEnd w:id="68"/>
    </w:p>
    <w:p w14:paraId="2A0C635F">
      <w:pPr>
        <w:spacing w:before="218" w:line="221" w:lineRule="auto"/>
        <w:ind w:firstLine="420" w:firstLineChars="200"/>
        <w:rPr>
          <w:rFonts w:hint="default" w:ascii="Times New Roman" w:hAnsi="Times New Roman" w:eastAsia="宋体" w:cs="Times New Roman"/>
          <w:kern w:val="0"/>
          <w:sz w:val="21"/>
          <w:szCs w:val="20"/>
          <w:lang w:val="en-US" w:eastAsia="zh-CN" w:bidi="ar-SA"/>
        </w:rPr>
      </w:pPr>
      <w:r>
        <w:rPr>
          <w:rFonts w:hint="eastAsia" w:ascii="Times New Roman" w:hAnsi="Times New Roman" w:eastAsia="宋体" w:cs="Times New Roman"/>
          <w:kern w:val="0"/>
          <w:sz w:val="21"/>
          <w:szCs w:val="20"/>
          <w:lang w:val="en-US" w:eastAsia="zh-CN" w:bidi="ar-SA"/>
        </w:rPr>
        <w:t>选用高抗的优质品种，培育无病虫壮苗；</w:t>
      </w:r>
      <w:r>
        <w:rPr>
          <w:rFonts w:hint="default" w:ascii="Times New Roman" w:hAnsi="Times New Roman" w:eastAsia="宋体" w:cs="Times New Roman"/>
          <w:kern w:val="0"/>
          <w:sz w:val="21"/>
          <w:szCs w:val="20"/>
          <w:lang w:val="en-US" w:eastAsia="zh-CN" w:bidi="ar-SA"/>
        </w:rPr>
        <w:t>合理布局，避免与易发潜叶蝇危害的作物相邻，如油菜；避免田间积水，实行轮作换茬；加强中耕除草，发现病株及时带出，降低病虫源基数。</w:t>
      </w:r>
    </w:p>
    <w:p w14:paraId="1C1BDFF1">
      <w:pPr>
        <w:pStyle w:val="106"/>
        <w:spacing w:before="156" w:after="156"/>
        <w:rPr>
          <w:rFonts w:hint="default"/>
          <w:lang w:val="en-US" w:eastAsia="zh-CN"/>
        </w:rPr>
      </w:pPr>
      <w:bookmarkStart w:id="69" w:name="_Toc30917"/>
      <w:r>
        <w:rPr>
          <w:rFonts w:hint="eastAsia"/>
          <w:lang w:val="en-US" w:eastAsia="zh-CN"/>
        </w:rPr>
        <w:t>生物防控</w:t>
      </w:r>
      <w:bookmarkEnd w:id="69"/>
    </w:p>
    <w:p w14:paraId="34139AAB">
      <w:pPr>
        <w:spacing w:before="218" w:line="221" w:lineRule="auto"/>
        <w:ind w:firstLine="420" w:firstLineChars="200"/>
        <w:rPr>
          <w:rFonts w:hint="default" w:ascii="Times New Roman" w:hAnsi="Times New Roman" w:eastAsia="宋体" w:cs="Times New Roman"/>
          <w:kern w:val="0"/>
          <w:sz w:val="21"/>
          <w:szCs w:val="20"/>
          <w:lang w:val="en-US" w:eastAsia="zh-CN" w:bidi="ar-SA"/>
        </w:rPr>
      </w:pPr>
      <w:r>
        <w:rPr>
          <w:rFonts w:hint="default" w:ascii="Times New Roman" w:hAnsi="Times New Roman" w:eastAsia="宋体" w:cs="Times New Roman"/>
          <w:kern w:val="0"/>
          <w:sz w:val="21"/>
          <w:szCs w:val="20"/>
          <w:lang w:val="en-US" w:eastAsia="zh-CN" w:bidi="ar-SA"/>
        </w:rPr>
        <w:t>保护和利用天敌，如瓢虫、草蛉、食蚜蝇、蚜黄蜂等自然天敌，发挥其对有害生物的自然控制作用，杀灭蚜虫等害虫。</w:t>
      </w:r>
    </w:p>
    <w:p w14:paraId="759F33E2">
      <w:pPr>
        <w:pStyle w:val="106"/>
        <w:spacing w:before="156" w:after="156"/>
        <w:rPr>
          <w:rFonts w:hint="eastAsia"/>
          <w:lang w:val="en-US" w:eastAsia="en-US"/>
        </w:rPr>
      </w:pPr>
      <w:bookmarkStart w:id="70" w:name="_Toc12031"/>
      <w:r>
        <w:rPr>
          <w:rFonts w:hint="eastAsia"/>
          <w:lang w:val="en-US" w:eastAsia="en-US"/>
        </w:rPr>
        <w:t>物理防治</w:t>
      </w:r>
      <w:bookmarkEnd w:id="70"/>
    </w:p>
    <w:p w14:paraId="06CD0A87">
      <w:pPr>
        <w:pStyle w:val="66"/>
        <w:numPr>
          <w:ilvl w:val="3"/>
          <w:numId w:val="0"/>
        </w:numPr>
        <w:spacing w:before="156" w:after="156"/>
        <w:ind w:leftChars="0" w:firstLine="420" w:firstLineChars="200"/>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针对蚜虫、烟粉虱等害虫对颜色敏感的特性用银灰膜避蚜，或用频振式杀虫灯、黄板引诱等方法，控制害虫的危害。</w:t>
      </w:r>
    </w:p>
    <w:p w14:paraId="2B0A550A">
      <w:pPr>
        <w:pStyle w:val="106"/>
        <w:spacing w:before="156" w:after="156"/>
        <w:rPr>
          <w:rFonts w:hint="default"/>
          <w:lang w:val="en-US" w:eastAsia="en-US"/>
        </w:rPr>
      </w:pPr>
      <w:bookmarkStart w:id="71" w:name="_Toc29507"/>
      <w:r>
        <w:rPr>
          <w:rFonts w:hint="default"/>
          <w:lang w:val="en-US" w:eastAsia="en-US"/>
        </w:rPr>
        <w:t>化学防治</w:t>
      </w:r>
      <w:bookmarkEnd w:id="71"/>
    </w:p>
    <w:p w14:paraId="3A763AFD">
      <w:pPr>
        <w:pStyle w:val="66"/>
        <w:spacing w:before="156" w:after="156"/>
        <w:rPr>
          <w:rFonts w:hint="eastAsia"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赤斑病可在发病初期每 667</w:t>
      </w:r>
      <w:r>
        <w:rPr>
          <w:rFonts w:hint="eastAsia" w:ascii="Times New Roman" w:hAnsi="Times New Roman" w:eastAsia="宋体" w:cs="Times New Roman"/>
          <w:sz w:val="21"/>
          <w:lang w:val="en-US" w:eastAsia="zh-CN" w:bidi="ar-SA"/>
        </w:rPr>
        <w:t xml:space="preserve"> </w:t>
      </w:r>
      <w:r>
        <w:rPr>
          <w:rFonts w:hint="default" w:ascii="Times New Roman" w:hAnsi="Times New Roman" w:eastAsia="宋体" w:cs="Times New Roman"/>
          <w:sz w:val="21"/>
          <w:lang w:val="en-US" w:eastAsia="zh-CN" w:bidi="ar-SA"/>
        </w:rPr>
        <w:t>㎡用 80%代森锰锌可湿性粉剂 80 g 兑水 40 kg 喷雾；病毒病</w:t>
      </w:r>
      <w:r>
        <w:rPr>
          <w:rFonts w:hint="eastAsia" w:ascii="Times New Roman" w:hAnsi="Times New Roman" w:eastAsia="宋体" w:cs="Times New Roman"/>
          <w:sz w:val="21"/>
          <w:lang w:val="en-US" w:eastAsia="zh-CN" w:bidi="ar-SA"/>
        </w:rPr>
        <w:t>主要靠蚜虫传播，要及早防治蚜虫进行预防，</w:t>
      </w:r>
      <w:r>
        <w:rPr>
          <w:rFonts w:hint="default" w:ascii="Times New Roman" w:hAnsi="Times New Roman" w:eastAsia="宋体" w:cs="Times New Roman"/>
          <w:sz w:val="21"/>
          <w:lang w:val="en-US" w:eastAsia="zh-CN" w:bidi="ar-SA"/>
        </w:rPr>
        <w:t>发病初期每 667</w:t>
      </w:r>
      <w:r>
        <w:rPr>
          <w:rFonts w:hint="eastAsia" w:ascii="Times New Roman" w:hAnsi="Times New Roman" w:eastAsia="宋体" w:cs="Times New Roman"/>
          <w:sz w:val="21"/>
          <w:lang w:val="en-US" w:eastAsia="zh-CN" w:bidi="ar-SA"/>
        </w:rPr>
        <w:t xml:space="preserve"> </w:t>
      </w:r>
      <w:r>
        <w:rPr>
          <w:rFonts w:hint="default" w:ascii="Times New Roman" w:hAnsi="Times New Roman" w:eastAsia="宋体" w:cs="Times New Roman"/>
          <w:sz w:val="21"/>
          <w:lang w:val="en-US" w:eastAsia="zh-CN" w:bidi="ar-SA"/>
        </w:rPr>
        <w:t>㎡</w:t>
      </w:r>
      <w:r>
        <w:rPr>
          <w:rFonts w:hint="eastAsia" w:ascii="Times New Roman" w:hAnsi="Times New Roman" w:eastAsia="宋体" w:cs="Times New Roman"/>
          <w:sz w:val="21"/>
          <w:lang w:val="en-US" w:eastAsia="zh-CN" w:bidi="ar-SA"/>
        </w:rPr>
        <w:t>用70%吡虫啉水分散粒剂5 g和6%寡糖链蛋白可湿性粉剂30 g兑水45 kg喷雾防治；</w:t>
      </w:r>
      <w:r>
        <w:rPr>
          <w:rFonts w:hint="default" w:ascii="Times New Roman" w:hAnsi="Times New Roman" w:eastAsia="宋体" w:cs="Times New Roman"/>
          <w:sz w:val="21"/>
          <w:lang w:val="en-US" w:eastAsia="zh-CN" w:bidi="ar-SA"/>
        </w:rPr>
        <w:t>根腐病在发病初期</w:t>
      </w:r>
      <w:r>
        <w:rPr>
          <w:rFonts w:hint="eastAsia" w:ascii="Times New Roman" w:hAnsi="Times New Roman" w:eastAsia="宋体" w:cs="Times New Roman"/>
          <w:sz w:val="21"/>
          <w:lang w:val="en-US" w:eastAsia="zh-CN" w:bidi="ar-SA"/>
        </w:rPr>
        <w:t>可用50%多菌灵1000倍液进行灌根或30%恶霉灵水剂(康丹)1500-2000倍液进行喷雾。</w:t>
      </w:r>
    </w:p>
    <w:p w14:paraId="7A5D8D07">
      <w:pPr>
        <w:pStyle w:val="66"/>
        <w:spacing w:before="156" w:after="156"/>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蚜虫在百株蚜量超过 1500 头时，每 667 ㎡用 10%吡虫啉可湿性粉剂 10 g～15 g 兑水 40 kg 喷雾；潜叶蝇在开始潜蛀，叶面零星出现虫道时防治，每 667 ㎡可用 20%阿维 ·杀虫单 8 g～60 g 兑水 40 kg 喷雾；蚕豆象可在盛花期每 667 ㎡用24.5 %绿维虫螨乳油 40 g～50 g 兑水 40 kg 喷雾；夜蛾类害虫可选用50%高效氯氰菊酯乳油1000倍液加50%辛硫磷乳油1000倍液。</w:t>
      </w:r>
    </w:p>
    <w:p w14:paraId="3D853ECF">
      <w:pPr>
        <w:pStyle w:val="66"/>
        <w:spacing w:before="156" w:after="156"/>
        <w:rPr>
          <w:rFonts w:hint="default" w:ascii="Times New Roman" w:hAnsi="Times New Roman" w:eastAsia="宋体" w:cs="Times New Roman"/>
          <w:sz w:val="21"/>
          <w:lang w:val="en-US" w:eastAsia="zh-CN" w:bidi="ar-SA"/>
        </w:rPr>
      </w:pPr>
      <w:r>
        <w:rPr>
          <w:rFonts w:hint="default" w:ascii="Times New Roman" w:hAnsi="Times New Roman" w:eastAsia="宋体" w:cs="Times New Roman"/>
          <w:sz w:val="21"/>
          <w:lang w:val="en-US" w:eastAsia="zh-CN" w:bidi="ar-SA"/>
        </w:rPr>
        <w:t>化学防治，根据病虫</w:t>
      </w:r>
      <w:r>
        <w:rPr>
          <w:rFonts w:hint="eastAsia" w:ascii="Times New Roman" w:hAnsi="Times New Roman" w:eastAsia="宋体" w:cs="Times New Roman"/>
          <w:sz w:val="21"/>
          <w:lang w:val="en-US" w:eastAsia="zh-CN" w:bidi="ar-SA"/>
        </w:rPr>
        <w:t>情况</w:t>
      </w:r>
      <w:r>
        <w:rPr>
          <w:rFonts w:hint="default" w:ascii="Times New Roman" w:hAnsi="Times New Roman" w:eastAsia="宋体" w:cs="Times New Roman"/>
          <w:sz w:val="21"/>
          <w:lang w:val="en-US" w:eastAsia="zh-CN" w:bidi="ar-SA"/>
        </w:rPr>
        <w:t>，每隔 7 d～10 d 防治 1 次，可连续防治</w:t>
      </w:r>
      <w:r>
        <w:rPr>
          <w:rFonts w:hint="eastAsia" w:ascii="Times New Roman" w:hAnsi="Times New Roman" w:eastAsia="宋体" w:cs="Times New Roman"/>
          <w:sz w:val="21"/>
          <w:lang w:val="en-US" w:eastAsia="zh-CN" w:bidi="ar-SA"/>
        </w:rPr>
        <w:t>2</w:t>
      </w:r>
      <w:r>
        <w:rPr>
          <w:rFonts w:hint="default" w:ascii="Times New Roman" w:hAnsi="Times New Roman" w:eastAsia="宋体" w:cs="Times New Roman"/>
          <w:sz w:val="21"/>
          <w:lang w:val="en-US" w:eastAsia="zh-CN" w:bidi="ar-SA"/>
        </w:rPr>
        <w:t xml:space="preserve"> 次～</w:t>
      </w:r>
      <w:r>
        <w:rPr>
          <w:rFonts w:hint="eastAsia" w:ascii="Times New Roman" w:hAnsi="Times New Roman" w:eastAsia="宋体" w:cs="Times New Roman"/>
          <w:sz w:val="21"/>
          <w:lang w:val="en-US" w:eastAsia="zh-CN" w:bidi="ar-SA"/>
        </w:rPr>
        <w:t>3</w:t>
      </w:r>
      <w:r>
        <w:rPr>
          <w:rFonts w:hint="default" w:ascii="Times New Roman" w:hAnsi="Times New Roman" w:eastAsia="宋体" w:cs="Times New Roman"/>
          <w:sz w:val="21"/>
          <w:lang w:val="en-US" w:eastAsia="zh-CN" w:bidi="ar-SA"/>
        </w:rPr>
        <w:t xml:space="preserve"> 次；农药使用应符合 GB/T 8321.10 规定。</w:t>
      </w:r>
    </w:p>
    <w:p w14:paraId="3CA61DD0">
      <w:pPr>
        <w:pStyle w:val="105"/>
        <w:spacing w:before="312" w:after="312"/>
        <w:rPr>
          <w:rFonts w:hint="default"/>
          <w:lang w:val="en-US" w:eastAsia="zh-CN"/>
        </w:rPr>
      </w:pPr>
      <w:bookmarkStart w:id="72" w:name="_Toc10065"/>
      <w:r>
        <w:rPr>
          <w:rFonts w:hint="default"/>
          <w:lang w:val="en-US" w:eastAsia="zh-CN"/>
        </w:rPr>
        <w:t>采收</w:t>
      </w:r>
      <w:bookmarkEnd w:id="72"/>
    </w:p>
    <w:p w14:paraId="5AA6E39B">
      <w:pPr>
        <w:pStyle w:val="106"/>
        <w:spacing w:before="156" w:after="156"/>
        <w:rPr>
          <w:rFonts w:hint="default" w:ascii="Times New Roman" w:hAnsi="Times New Roman" w:eastAsia="宋体" w:cs="Times New Roman"/>
          <w:sz w:val="21"/>
          <w:lang w:val="en-US" w:eastAsia="zh-CN" w:bidi="ar-SA"/>
        </w:rPr>
      </w:pPr>
      <w:bookmarkStart w:id="73" w:name="_Toc28357"/>
      <w:bookmarkStart w:id="74" w:name="_Toc10117"/>
      <w:bookmarkStart w:id="75" w:name="_Toc11577"/>
      <w:bookmarkStart w:id="76" w:name="_Toc25330"/>
      <w:bookmarkStart w:id="77" w:name="_Toc27422"/>
      <w:r>
        <w:rPr>
          <w:rFonts w:hint="default" w:ascii="Times New Roman" w:hAnsi="Times New Roman" w:eastAsia="宋体" w:cs="Times New Roman"/>
          <w:sz w:val="21"/>
          <w:lang w:val="en-US" w:eastAsia="zh-CN" w:bidi="ar-SA"/>
        </w:rPr>
        <w:t>青荚采收可在</w:t>
      </w:r>
      <w:r>
        <w:rPr>
          <w:rFonts w:hint="eastAsia" w:ascii="Times New Roman" w:hAnsi="Times New Roman" w:eastAsia="宋体" w:cs="Times New Roman"/>
          <w:sz w:val="21"/>
          <w:lang w:val="en-US" w:eastAsia="zh-CN" w:bidi="ar-SA"/>
        </w:rPr>
        <w:t>鲜籽粒灌浆达到80%-90%，豆粒种脐呈现浅黄绿色</w:t>
      </w:r>
      <w:r>
        <w:rPr>
          <w:rFonts w:hint="default" w:ascii="Times New Roman" w:hAnsi="Times New Roman" w:eastAsia="宋体" w:cs="Times New Roman"/>
          <w:sz w:val="21"/>
          <w:lang w:val="en-US" w:eastAsia="zh-CN" w:bidi="ar-SA"/>
        </w:rPr>
        <w:t>荚时采摘，青荚收获要分批进行，从下向上，间隔一周采收一次。</w:t>
      </w:r>
      <w:bookmarkEnd w:id="73"/>
      <w:bookmarkEnd w:id="74"/>
      <w:bookmarkEnd w:id="75"/>
      <w:bookmarkEnd w:id="76"/>
      <w:bookmarkEnd w:id="77"/>
    </w:p>
    <w:p w14:paraId="23E79EA6">
      <w:pPr>
        <w:pStyle w:val="106"/>
        <w:spacing w:before="156" w:after="156"/>
        <w:rPr>
          <w:rFonts w:hint="default" w:ascii="Times New Roman" w:hAnsi="Times New Roman" w:eastAsia="宋体" w:cs="Times New Roman"/>
          <w:sz w:val="21"/>
          <w:lang w:val="en-US" w:eastAsia="zh-CN" w:bidi="ar-SA"/>
        </w:rPr>
      </w:pPr>
      <w:bookmarkStart w:id="78" w:name="_Toc4274"/>
      <w:bookmarkStart w:id="79" w:name="_Toc16048"/>
      <w:bookmarkStart w:id="80" w:name="_Toc23659"/>
      <w:bookmarkStart w:id="81" w:name="_Toc4738"/>
      <w:bookmarkStart w:id="82" w:name="_Toc13566"/>
      <w:r>
        <w:rPr>
          <w:rFonts w:hint="default" w:ascii="Times New Roman" w:hAnsi="Times New Roman" w:eastAsia="宋体" w:cs="Times New Roman"/>
          <w:sz w:val="21"/>
          <w:lang w:val="en-US" w:eastAsia="zh-CN" w:bidi="ar-SA"/>
        </w:rPr>
        <w:t>干籽粒收获，</w:t>
      </w:r>
      <w:r>
        <w:rPr>
          <w:rFonts w:hint="eastAsia" w:ascii="Times New Roman" w:hAnsi="Times New Roman" w:eastAsia="宋体" w:cs="Times New Roman"/>
          <w:sz w:val="21"/>
          <w:lang w:val="en-US" w:eastAsia="zh-CN" w:bidi="ar-SA"/>
        </w:rPr>
        <w:t>一般在</w:t>
      </w:r>
      <w:r>
        <w:rPr>
          <w:rFonts w:hint="default" w:ascii="Times New Roman" w:hAnsi="Times New Roman" w:eastAsia="宋体" w:cs="Times New Roman"/>
          <w:sz w:val="21"/>
          <w:lang w:val="en-US" w:eastAsia="zh-CN" w:bidi="ar-SA"/>
        </w:rPr>
        <w:t>蚕豆叶片脱落，</w:t>
      </w:r>
      <w:r>
        <w:rPr>
          <w:rFonts w:hint="eastAsia" w:ascii="Times New Roman" w:hAnsi="Times New Roman" w:eastAsia="宋体" w:cs="Times New Roman"/>
          <w:sz w:val="21"/>
          <w:lang w:val="en-US" w:eastAsia="zh-CN" w:bidi="ar-SA"/>
        </w:rPr>
        <w:t>植株80%豆荚变黑褐黄色即可收割</w:t>
      </w:r>
      <w:r>
        <w:rPr>
          <w:rFonts w:hint="default" w:ascii="Times New Roman" w:hAnsi="Times New Roman" w:eastAsia="宋体" w:cs="Times New Roman"/>
          <w:sz w:val="21"/>
          <w:lang w:val="en-US" w:eastAsia="zh-CN" w:bidi="ar-SA"/>
        </w:rPr>
        <w:t>，</w:t>
      </w:r>
      <w:r>
        <w:rPr>
          <w:rFonts w:hint="eastAsia" w:ascii="Times New Roman" w:hAnsi="Times New Roman" w:eastAsia="宋体" w:cs="Times New Roman"/>
          <w:sz w:val="21"/>
          <w:lang w:val="en-US" w:eastAsia="zh-CN" w:bidi="ar-SA"/>
        </w:rPr>
        <w:t>可</w:t>
      </w:r>
      <w:r>
        <w:rPr>
          <w:rFonts w:hint="default" w:ascii="Times New Roman" w:hAnsi="Times New Roman" w:eastAsia="宋体" w:cs="Times New Roman"/>
          <w:sz w:val="21"/>
          <w:lang w:val="en-US" w:eastAsia="zh-CN" w:bidi="ar-SA"/>
        </w:rPr>
        <w:t>采用人工或</w:t>
      </w:r>
      <w:r>
        <w:rPr>
          <w:rFonts w:hint="eastAsia" w:ascii="Times New Roman" w:hAnsi="Times New Roman" w:eastAsia="宋体" w:cs="Times New Roman"/>
          <w:sz w:val="21"/>
          <w:lang w:val="en-US" w:eastAsia="zh-CN" w:bidi="ar-SA"/>
        </w:rPr>
        <w:t>分段式收获或蚕豆</w:t>
      </w:r>
      <w:r>
        <w:rPr>
          <w:rFonts w:hint="default" w:ascii="Times New Roman" w:hAnsi="Times New Roman" w:eastAsia="宋体" w:cs="Times New Roman"/>
          <w:sz w:val="21"/>
          <w:lang w:val="en-US" w:eastAsia="zh-CN" w:bidi="ar-SA"/>
        </w:rPr>
        <w:t>专用收获机械进行收获。</w:t>
      </w:r>
      <w:bookmarkEnd w:id="78"/>
      <w:bookmarkEnd w:id="79"/>
      <w:bookmarkEnd w:id="80"/>
      <w:bookmarkEnd w:id="81"/>
      <w:bookmarkEnd w:id="82"/>
    </w:p>
    <w:p w14:paraId="021645FF">
      <w:pPr>
        <w:pStyle w:val="105"/>
        <w:spacing w:before="312" w:after="312"/>
        <w:rPr>
          <w:rFonts w:hint="default"/>
          <w:lang w:val="en-US" w:eastAsia="zh-CN"/>
        </w:rPr>
      </w:pPr>
      <w:bookmarkStart w:id="83" w:name="_Toc30922"/>
      <w:r>
        <w:rPr>
          <w:rFonts w:hint="default"/>
          <w:lang w:val="en-US" w:eastAsia="zh-CN"/>
        </w:rPr>
        <w:t>入库保存</w:t>
      </w:r>
      <w:bookmarkEnd w:id="83"/>
    </w:p>
    <w:p w14:paraId="5C4F1A81">
      <w:pPr>
        <w:pStyle w:val="106"/>
        <w:numPr>
          <w:ilvl w:val="2"/>
          <w:numId w:val="0"/>
        </w:numPr>
        <w:spacing w:before="156" w:after="156"/>
        <w:ind w:leftChars="0" w:firstLine="420" w:firstLineChars="200"/>
        <w:rPr>
          <w:rFonts w:hint="default" w:ascii="Times New Roman" w:hAnsi="Times New Roman" w:eastAsia="宋体" w:cs="Times New Roman"/>
          <w:sz w:val="21"/>
          <w:lang w:val="en-US" w:eastAsia="zh-CN" w:bidi="ar-SA"/>
        </w:rPr>
      </w:pPr>
      <w:bookmarkStart w:id="84" w:name="_Toc25966"/>
      <w:bookmarkStart w:id="85" w:name="_Toc3161"/>
      <w:bookmarkStart w:id="86" w:name="_Toc9711"/>
      <w:bookmarkStart w:id="87" w:name="_Toc20448"/>
      <w:bookmarkStart w:id="88" w:name="_Toc3847"/>
      <w:r>
        <w:rPr>
          <w:rFonts w:hint="eastAsia" w:ascii="Times New Roman" w:hAnsi="Times New Roman" w:eastAsia="宋体" w:cs="Times New Roman"/>
          <w:sz w:val="21"/>
          <w:lang w:val="en-US" w:eastAsia="zh-CN" w:bidi="ar-SA"/>
        </w:rPr>
        <w:t>鲜荚采收后应及时冷藏保存，避免豆荚发热、籽粒色变；</w:t>
      </w:r>
      <w:r>
        <w:rPr>
          <w:rFonts w:hint="default" w:ascii="Times New Roman" w:hAnsi="Times New Roman" w:eastAsia="宋体" w:cs="Times New Roman"/>
          <w:sz w:val="21"/>
          <w:lang w:val="en-US" w:eastAsia="zh-CN" w:bidi="ar-SA"/>
        </w:rPr>
        <w:t>干籽粒蚕豆收获后及时晾晒，含水量1</w:t>
      </w:r>
      <w:r>
        <w:rPr>
          <w:rFonts w:hint="eastAsia" w:ascii="Times New Roman" w:hAnsi="Times New Roman" w:eastAsia="宋体" w:cs="Times New Roman"/>
          <w:sz w:val="21"/>
          <w:lang w:val="en-US" w:eastAsia="zh-CN" w:bidi="ar-SA"/>
        </w:rPr>
        <w:t>2</w:t>
      </w:r>
      <w:r>
        <w:rPr>
          <w:rFonts w:hint="default" w:ascii="Times New Roman" w:hAnsi="Times New Roman" w:eastAsia="宋体" w:cs="Times New Roman"/>
          <w:sz w:val="21"/>
          <w:lang w:val="en-US" w:eastAsia="zh-CN" w:bidi="ar-SA"/>
        </w:rPr>
        <w:t>%以下，贮存于干燥、避光、</w:t>
      </w:r>
      <w:r>
        <w:rPr>
          <w:rFonts w:hint="eastAsia" w:ascii="Times New Roman" w:hAnsi="Times New Roman" w:eastAsia="宋体" w:cs="Times New Roman"/>
          <w:sz w:val="21"/>
          <w:lang w:val="en-US" w:eastAsia="zh-CN" w:bidi="ar-SA"/>
        </w:rPr>
        <w:t>低氧、</w:t>
      </w:r>
      <w:r>
        <w:rPr>
          <w:rFonts w:hint="default" w:ascii="Times New Roman" w:hAnsi="Times New Roman" w:eastAsia="宋体" w:cs="Times New Roman"/>
          <w:sz w:val="21"/>
          <w:lang w:val="en-US" w:eastAsia="zh-CN" w:bidi="ar-SA"/>
        </w:rPr>
        <w:t>通风处</w:t>
      </w:r>
      <w:r>
        <w:rPr>
          <w:rFonts w:hint="eastAsia" w:ascii="Times New Roman" w:hAnsi="Times New Roman" w:eastAsia="宋体" w:cs="Times New Roman"/>
          <w:sz w:val="21"/>
          <w:lang w:val="en-US" w:eastAsia="zh-CN" w:bidi="ar-SA"/>
        </w:rPr>
        <w:t>，防治豆象和籽粒“褐变”的发生</w:t>
      </w:r>
      <w:r>
        <w:rPr>
          <w:rFonts w:hint="default" w:ascii="Times New Roman" w:hAnsi="Times New Roman" w:eastAsia="宋体" w:cs="Times New Roman"/>
          <w:sz w:val="21"/>
          <w:lang w:val="en-US" w:eastAsia="zh-CN" w:bidi="ar-SA"/>
        </w:rPr>
        <w:t>。</w:t>
      </w:r>
      <w:bookmarkEnd w:id="84"/>
      <w:bookmarkEnd w:id="85"/>
      <w:bookmarkEnd w:id="86"/>
      <w:bookmarkEnd w:id="87"/>
      <w:bookmarkEnd w:id="88"/>
      <w:r>
        <w:rPr>
          <w:rFonts w:hint="default" w:ascii="Times New Roman" w:hAnsi="Times New Roman" w:eastAsia="宋体" w:cs="Times New Roman"/>
          <w:sz w:val="21"/>
          <w:lang w:val="en-US" w:eastAsia="zh-CN" w:bidi="ar-SA"/>
        </w:rPr>
        <w:t xml:space="preserve"> </w:t>
      </w:r>
    </w:p>
    <w:p w14:paraId="6B152CEB">
      <w:pPr>
        <w:pStyle w:val="105"/>
        <w:spacing w:before="312" w:after="312"/>
        <w:rPr>
          <w:rFonts w:hint="default"/>
          <w:lang w:val="en-US" w:eastAsia="zh-CN"/>
        </w:rPr>
      </w:pPr>
      <w:bookmarkStart w:id="89" w:name="bookmark18"/>
      <w:bookmarkEnd w:id="89"/>
      <w:bookmarkStart w:id="90" w:name="bookmark17"/>
      <w:bookmarkEnd w:id="90"/>
      <w:bookmarkStart w:id="91" w:name="_Toc16725"/>
      <w:r>
        <w:rPr>
          <w:rFonts w:hint="default"/>
          <w:lang w:val="en-US" w:eastAsia="zh-CN"/>
        </w:rPr>
        <w:t>生产记录</w:t>
      </w:r>
      <w:bookmarkEnd w:id="91"/>
    </w:p>
    <w:p w14:paraId="6A376FBE">
      <w:pPr>
        <w:pStyle w:val="232"/>
        <w:spacing w:before="50" w:after="50" w:line="360" w:lineRule="exact"/>
        <w:ind w:left="0" w:leftChars="0" w:firstLine="388" w:firstLineChars="200"/>
      </w:pPr>
      <w:r>
        <w:rPr>
          <w:rFonts w:hint="default" w:ascii="Times New Roman" w:hAnsi="Times New Roman" w:eastAsia="宋体" w:cs="Times New Roman"/>
          <w:spacing w:val="-8"/>
          <w:sz w:val="21"/>
          <w:szCs w:val="21"/>
        </w:rPr>
        <w:t>建立</w:t>
      </w:r>
      <w:r>
        <w:rPr>
          <w:rFonts w:hint="eastAsia" w:ascii="Times New Roman" w:hAnsi="Times New Roman" w:eastAsia="宋体" w:cs="Times New Roman"/>
          <w:spacing w:val="-8"/>
          <w:sz w:val="21"/>
          <w:szCs w:val="21"/>
          <w:lang w:val="en-US" w:eastAsia="zh-CN"/>
        </w:rPr>
        <w:t>并保存</w:t>
      </w:r>
      <w:r>
        <w:rPr>
          <w:rFonts w:hint="default" w:ascii="Times New Roman" w:hAnsi="Times New Roman" w:eastAsia="宋体" w:cs="Times New Roman"/>
          <w:spacing w:val="-8"/>
          <w:sz w:val="21"/>
          <w:szCs w:val="21"/>
        </w:rPr>
        <w:t>生产技术档案，记录产地环境条件、生产技术、病虫害防治和采收等各环节</w:t>
      </w:r>
      <w:r>
        <w:rPr>
          <w:rFonts w:hint="default" w:ascii="Times New Roman" w:hAnsi="Times New Roman" w:eastAsia="宋体" w:cs="Times New Roman"/>
          <w:spacing w:val="-9"/>
          <w:sz w:val="21"/>
          <w:szCs w:val="21"/>
        </w:rPr>
        <w:t>所采取的具体措施，</w:t>
      </w:r>
      <w:r>
        <w:rPr>
          <w:rFonts w:hint="default" w:ascii="Times New Roman" w:hAnsi="Times New Roman" w:eastAsia="宋体" w:cs="Times New Roman"/>
          <w:sz w:val="21"/>
          <w:szCs w:val="21"/>
        </w:rPr>
        <w:t xml:space="preserve"> </w:t>
      </w:r>
      <w:r>
        <w:rPr>
          <w:rFonts w:hint="default" w:ascii="Times New Roman" w:hAnsi="Times New Roman" w:eastAsia="宋体" w:cs="Times New Roman"/>
          <w:spacing w:val="-2"/>
          <w:sz w:val="21"/>
          <w:szCs w:val="21"/>
        </w:rPr>
        <w:t>档案资料保存不少于2年。</w:t>
      </w:r>
    </w:p>
    <w:bookmarkEnd w:id="24"/>
    <w:p w14:paraId="760D7354">
      <w:pPr>
        <w:pStyle w:val="57"/>
        <w:ind w:firstLine="0" w:firstLineChars="0"/>
        <w:jc w:val="center"/>
      </w:pPr>
      <w:bookmarkStart w:id="92" w:name="BookMark8"/>
      <w:r>
        <w:drawing>
          <wp:inline distT="0" distB="0" distL="0" distR="0">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cstate="print"/>
                    <a:stretch>
                      <a:fillRect/>
                    </a:stretch>
                  </pic:blipFill>
                  <pic:spPr>
                    <a:xfrm>
                      <a:off x="0" y="0"/>
                      <a:ext cx="1485900" cy="317500"/>
                    </a:xfrm>
                    <a:prstGeom prst="rect">
                      <a:avLst/>
                    </a:prstGeom>
                  </pic:spPr>
                </pic:pic>
              </a:graphicData>
            </a:graphic>
          </wp:inline>
        </w:drawing>
      </w:r>
      <w:bookmarkEnd w:id="92"/>
    </w:p>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803429">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27C77">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D2ED56">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7C22E">
    <w:pPr>
      <w:pStyle w:val="53"/>
    </w:pPr>
    <w:r>
      <w:fldChar w:fldCharType="begin"/>
    </w:r>
    <w:r>
      <w:instrText xml:space="preserve">PAGE   \* MERGEFORMAT</w:instrText>
    </w:r>
    <w:r>
      <w:fldChar w:fldCharType="separate"/>
    </w:r>
    <w:r>
      <w:rPr>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DE1EFD">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EB947">
    <w:pPr>
      <w:pStyle w:val="1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C684B">
    <w:pPr>
      <w:pStyle w:val="1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2ED184">
    <w:pPr>
      <w:pStyle w:val="62"/>
    </w:pPr>
    <w:r>
      <w:fldChar w:fldCharType="begin"/>
    </w:r>
    <w:r>
      <w:instrText xml:space="preserve"> STYLEREF  标准文件_文件编号  \* MERGEFORMAT </w:instrText>
    </w:r>
    <w:r>
      <w:fldChar w:fldCharType="separate"/>
    </w:r>
    <w: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185AFC">
    <w:pPr>
      <w:pStyle w:val="19"/>
      <w:jc w:val="right"/>
      <w:rPr>
        <w:lang w:val="fr-FR"/>
      </w:rPr>
    </w:pPr>
    <w:r>
      <w:fldChar w:fldCharType="begin"/>
    </w:r>
    <w:r>
      <w:instrText xml:space="preserve"> STYLEREF  标准文件_文件编号  \* MERGEFORMAT </w:instrText>
    </w:r>
    <w:r>
      <w:fldChar w:fldCharType="separate"/>
    </w:r>
    <w:r>
      <w:t>DB XX/T XXXX—XXXX</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23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dit="forms" w:enforcement="1" w:cryptProviderType="rsaAES" w:cryptAlgorithmClass="hash" w:cryptAlgorithmType="typeAny" w:cryptAlgorithmSid="14" w:cryptSpinCount="100000" w:hash="qQeeRyMgl6+UKRen59SI82nfpo626jPySQXxXXsVa+zKJgKGPlA1F9IoomQAdEnidNyk2lIM8ZY4&#10;+dPJgrgADA=====" w:salt="y1eAR77jdECGv4OXLa7M/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ExYWJjMGY2MTQyOTI4ZWQxMmUzYjExMGI3OWZmZDcifQ=="/>
  </w:docVars>
  <w:rsids>
    <w:rsidRoot w:val="00A1432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0DFD"/>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323"/>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EB7"/>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6B3"/>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7055DD2"/>
    <w:rsid w:val="0C3F1EA2"/>
    <w:rsid w:val="0D590805"/>
    <w:rsid w:val="14062172"/>
    <w:rsid w:val="167F591C"/>
    <w:rsid w:val="1C80524E"/>
    <w:rsid w:val="2E5E55D3"/>
    <w:rsid w:val="3634775D"/>
    <w:rsid w:val="366E4C0F"/>
    <w:rsid w:val="39BA3320"/>
    <w:rsid w:val="3B21429D"/>
    <w:rsid w:val="3C16347F"/>
    <w:rsid w:val="3F4C5993"/>
    <w:rsid w:val="427F6149"/>
    <w:rsid w:val="486A6E89"/>
    <w:rsid w:val="4AA51C67"/>
    <w:rsid w:val="4B5736F5"/>
    <w:rsid w:val="4BFD1619"/>
    <w:rsid w:val="52B56FEB"/>
    <w:rsid w:val="542A09BA"/>
    <w:rsid w:val="546922CC"/>
    <w:rsid w:val="56F0330A"/>
    <w:rsid w:val="59A33FA9"/>
    <w:rsid w:val="62016A36"/>
    <w:rsid w:val="62C749FF"/>
    <w:rsid w:val="6EAD4B62"/>
    <w:rsid w:val="777A5D57"/>
    <w:rsid w:val="77906E40"/>
    <w:rsid w:val="7D863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Document Map"/>
    <w:basedOn w:val="1"/>
    <w:link w:val="231"/>
    <w:semiHidden/>
    <w:unhideWhenUsed/>
    <w:qFormat/>
    <w:uiPriority w:val="99"/>
    <w:rPr>
      <w:rFonts w:ascii="宋体"/>
      <w:sz w:val="18"/>
      <w:szCs w:val="18"/>
    </w:rPr>
  </w:style>
  <w:style w:type="paragraph" w:styleId="14">
    <w:name w:val="Body Text"/>
    <w:basedOn w:val="1"/>
    <w:link w:val="87"/>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6"/>
    <w:semiHidden/>
    <w:unhideWhenUsed/>
    <w:qFormat/>
    <w:uiPriority w:val="99"/>
    <w:rPr>
      <w:sz w:val="18"/>
      <w:szCs w:val="18"/>
    </w:rPr>
  </w:style>
  <w:style w:type="paragraph" w:styleId="18">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4"/>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autoRedefine/>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autoRedefine/>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autoRedefine/>
    <w:qFormat/>
    <w:uiPriority w:val="0"/>
    <w:rPr>
      <w:rFonts w:ascii="Arial" w:hAnsi="Arial" w:eastAsia="黑体"/>
      <w:b/>
      <w:bCs/>
      <w:kern w:val="2"/>
      <w:sz w:val="24"/>
      <w:szCs w:val="24"/>
    </w:rPr>
  </w:style>
  <w:style w:type="character" w:customStyle="1" w:styleId="41">
    <w:name w:val="标题 7 Char"/>
    <w:link w:val="8"/>
    <w:autoRedefine/>
    <w:qFormat/>
    <w:uiPriority w:val="0"/>
    <w:rPr>
      <w:b/>
      <w:bCs/>
      <w:kern w:val="2"/>
      <w:sz w:val="24"/>
      <w:szCs w:val="24"/>
    </w:rPr>
  </w:style>
  <w:style w:type="character" w:customStyle="1" w:styleId="42">
    <w:name w:val="标题 8 Char"/>
    <w:link w:val="9"/>
    <w:autoRedefine/>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9"/>
    <w:qFormat/>
    <w:uiPriority w:val="99"/>
    <w:rPr>
      <w:kern w:val="2"/>
      <w:sz w:val="18"/>
      <w:szCs w:val="18"/>
    </w:rPr>
  </w:style>
  <w:style w:type="character" w:customStyle="1" w:styleId="45">
    <w:name w:val="页脚 Char"/>
    <w:link w:val="18"/>
    <w:autoRedefine/>
    <w:qFormat/>
    <w:uiPriority w:val="99"/>
    <w:rPr>
      <w:rFonts w:ascii="宋体"/>
      <w:kern w:val="2"/>
      <w:sz w:val="18"/>
      <w:szCs w:val="18"/>
    </w:rPr>
  </w:style>
  <w:style w:type="character" w:customStyle="1" w:styleId="46">
    <w:name w:val="批注框文本 Char"/>
    <w:link w:val="17"/>
    <w:autoRedefine/>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Char"/>
    <w:link w:val="47"/>
    <w:qFormat/>
    <w:uiPriority w:val="29"/>
    <w:rPr>
      <w:i/>
      <w:iCs/>
      <w:color w:val="000000"/>
      <w:kern w:val="2"/>
      <w:sz w:val="21"/>
      <w:szCs w:val="21"/>
    </w:rPr>
  </w:style>
  <w:style w:type="character" w:customStyle="1" w:styleId="49">
    <w:name w:val="标题 Char"/>
    <w:link w:val="26"/>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autoRedefine/>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autoRedefine/>
    <w:qFormat/>
    <w:uiPriority w:val="99"/>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link w:val="237"/>
    <w:qFormat/>
    <w:uiPriority w:val="99"/>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autoRedefine/>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99"/>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4"/>
    <w:autoRedefine/>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99"/>
    <w:pPr>
      <w:widowControl/>
      <w:numPr>
        <w:ilvl w:val="4"/>
      </w:numPr>
      <w:outlineLvl w:val="3"/>
    </w:pPr>
  </w:style>
  <w:style w:type="character" w:customStyle="1" w:styleId="96">
    <w:name w:val="Subtle Reference"/>
    <w:autoRedefine/>
    <w:qFormat/>
    <w:uiPriority w:val="31"/>
    <w:rPr>
      <w:smallCaps/>
      <w:color w:val="C0504D"/>
      <w:u w:val="single"/>
    </w:rPr>
  </w:style>
  <w:style w:type="paragraph" w:customStyle="1" w:styleId="97">
    <w:name w:val="标准文件_示例后续"/>
    <w:basedOn w:val="1"/>
    <w:autoRedefine/>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autoRedefine/>
    <w:qFormat/>
    <w:uiPriority w:val="99"/>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2"/>
    <w:autoRedefine/>
    <w:semiHidden/>
    <w:qFormat/>
    <w:uiPriority w:val="0"/>
    <w:rPr>
      <w:rFonts w:ascii="宋体"/>
      <w:kern w:val="2"/>
      <w:sz w:val="18"/>
      <w:szCs w:val="18"/>
    </w:rPr>
  </w:style>
  <w:style w:type="paragraph" w:customStyle="1" w:styleId="101">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autoRedefine/>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99"/>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99"/>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99"/>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99"/>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99"/>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99"/>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99"/>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99"/>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文档结构图 Char"/>
    <w:basedOn w:val="29"/>
    <w:link w:val="13"/>
    <w:semiHidden/>
    <w:qFormat/>
    <w:uiPriority w:val="99"/>
    <w:rPr>
      <w:rFonts w:ascii="宋体"/>
      <w:kern w:val="2"/>
      <w:sz w:val="18"/>
      <w:szCs w:val="18"/>
    </w:rPr>
  </w:style>
  <w:style w:type="paragraph" w:customStyle="1" w:styleId="232">
    <w:name w:val="段"/>
    <w:link w:val="233"/>
    <w:qFormat/>
    <w:uiPriority w:val="99"/>
    <w:pPr>
      <w:autoSpaceDE w:val="0"/>
      <w:autoSpaceDN w:val="0"/>
      <w:ind w:firstLine="200" w:firstLineChars="200"/>
      <w:jc w:val="both"/>
    </w:pPr>
    <w:rPr>
      <w:rFonts w:ascii="宋体" w:hAnsi="Times New Roman" w:eastAsia="宋体" w:cs="Times New Roman"/>
      <w:sz w:val="22"/>
      <w:lang w:val="en-US" w:eastAsia="zh-CN" w:bidi="ar-SA"/>
    </w:rPr>
  </w:style>
  <w:style w:type="character" w:customStyle="1" w:styleId="233">
    <w:name w:val="段 Char"/>
    <w:link w:val="232"/>
    <w:qFormat/>
    <w:locked/>
    <w:uiPriority w:val="99"/>
    <w:rPr>
      <w:rFonts w:ascii="宋体" w:hAnsi="Times New Roman"/>
      <w:sz w:val="22"/>
    </w:rPr>
  </w:style>
  <w:style w:type="paragraph" w:customStyle="1" w:styleId="234">
    <w:name w:val="章标题"/>
    <w:next w:val="232"/>
    <w:qFormat/>
    <w:uiPriority w:val="99"/>
    <w:pPr>
      <w:tabs>
        <w:tab w:val="left" w:pos="1838"/>
      </w:tabs>
      <w:spacing w:beforeLines="50" w:afterLines="50"/>
      <w:ind w:left="1838" w:hanging="420"/>
      <w:jc w:val="both"/>
      <w:outlineLvl w:val="1"/>
    </w:pPr>
    <w:rPr>
      <w:rFonts w:ascii="黑体" w:hAnsi="Times New Roman" w:eastAsia="黑体" w:cs="Times New Roman"/>
      <w:sz w:val="21"/>
      <w:lang w:val="en-US" w:eastAsia="zh-CN" w:bidi="ar-SA"/>
    </w:rPr>
  </w:style>
  <w:style w:type="paragraph" w:customStyle="1" w:styleId="235">
    <w:name w:val="一级条标题"/>
    <w:next w:val="232"/>
    <w:qFormat/>
    <w:uiPriority w:val="0"/>
    <w:pPr>
      <w:numPr>
        <w:ilvl w:val="2"/>
        <w:numId w:val="2"/>
      </w:numPr>
      <w:outlineLvl w:val="2"/>
    </w:pPr>
    <w:rPr>
      <w:rFonts w:ascii="Times New Roman" w:hAnsi="Times New Roman" w:eastAsia="黑体" w:cs="Times New Roman"/>
      <w:sz w:val="21"/>
      <w:lang w:val="en-US" w:eastAsia="zh-CN" w:bidi="ar-SA"/>
    </w:rPr>
  </w:style>
  <w:style w:type="paragraph" w:customStyle="1" w:styleId="236">
    <w:name w:val="二级条标题"/>
    <w:basedOn w:val="235"/>
    <w:next w:val="232"/>
    <w:qFormat/>
    <w:uiPriority w:val="0"/>
    <w:pPr>
      <w:numPr>
        <w:ilvl w:val="3"/>
        <w:numId w:val="2"/>
      </w:numPr>
      <w:outlineLvl w:val="3"/>
    </w:pPr>
  </w:style>
  <w:style w:type="character" w:customStyle="1" w:styleId="237">
    <w:name w:val="标准文件_二级条标题 Char"/>
    <w:link w:val="66"/>
    <w:qFormat/>
    <w:uiPriority w:val="99"/>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F106D7B9713433EBED62775630D90EC"/>
        <w:style w:val=""/>
        <w:category>
          <w:name w:val="常规"/>
          <w:gallery w:val="placeholder"/>
        </w:category>
        <w:types>
          <w:type w:val="bbPlcHdr"/>
        </w:types>
        <w:behaviors>
          <w:behavior w:val="content"/>
        </w:behaviors>
        <w:description w:val=""/>
        <w:guid w:val="{75D7F8F1-CF8C-4830-A832-A9267B9742AD}"/>
      </w:docPartPr>
      <w:docPartBody>
        <w:p w14:paraId="6B57845B">
          <w:pPr>
            <w:pStyle w:val="5"/>
          </w:pPr>
          <w:r>
            <w:rPr>
              <w:rStyle w:val="4"/>
              <w:rFonts w:hint="eastAsia"/>
            </w:rPr>
            <w:t>单击或点击此处输入文字。</w:t>
          </w:r>
        </w:p>
      </w:docPartBody>
    </w:docPart>
    <w:docPart>
      <w:docPartPr>
        <w:name w:val="B520C300B9604D3BA944591F90F47151"/>
        <w:style w:val=""/>
        <w:category>
          <w:name w:val="常规"/>
          <w:gallery w:val="placeholder"/>
        </w:category>
        <w:types>
          <w:type w:val="bbPlcHdr"/>
        </w:types>
        <w:behaviors>
          <w:behavior w:val="content"/>
        </w:behaviors>
        <w:description w:val=""/>
        <w:guid w:val="{E2044D17-6A17-47F9-9E48-B444CE548C19}"/>
      </w:docPartPr>
      <w:docPartBody>
        <w:p w14:paraId="6E9A0B9E">
          <w:pPr>
            <w:pStyle w:val="6"/>
          </w:pPr>
          <w:r>
            <w:rPr>
              <w:rStyle w:val="4"/>
              <w:rFonts w:hint="eastAsia"/>
            </w:rPr>
            <w:t>选择一项。</w:t>
          </w:r>
        </w:p>
      </w:docPartBody>
    </w:docPart>
    <w:docPart>
      <w:docPartPr>
        <w:name w:val="0A6CDF63350346758F51E934A95D4CBD"/>
        <w:style w:val=""/>
        <w:category>
          <w:name w:val="常规"/>
          <w:gallery w:val="placeholder"/>
        </w:category>
        <w:types>
          <w:type w:val="bbPlcHdr"/>
        </w:types>
        <w:behaviors>
          <w:behavior w:val="content"/>
        </w:behaviors>
        <w:description w:val=""/>
        <w:guid w:val="{02DCCEA9-FB6C-4ED1-80B7-EF940004FED2}"/>
      </w:docPartPr>
      <w:docPartBody>
        <w:p w14:paraId="3DAF6E05">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0E6E89"/>
    <w:rsid w:val="000E6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AF106D7B9713433EBED62775630D90E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520C300B9604D3BA944591F90F4715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0A6CDF63350346758F51E934A95D4CBD"/>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7</Pages>
  <Words>2835</Words>
  <Characters>3247</Characters>
  <Lines>511</Lines>
  <Paragraphs>459</Paragraphs>
  <TotalTime>3</TotalTime>
  <ScaleCrop>false</ScaleCrop>
  <LinksUpToDate>false</LinksUpToDate>
  <CharactersWithSpaces>3595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2023-12-22T08:29:00Z</dcterms:created>
  <dc:creator>lenovo</dc:creator>
  <dc:description>&lt;config cover="true" show_menu="true" version="1.0.0" doctype="SDKXY"&gt;_x000d_
&lt;/config&gt;</dc:description>
  <cp:lastModifiedBy>涂明驹</cp:lastModifiedBy>
  <cp:lastPrinted>2020-08-30T10:00:00Z</cp:lastPrinted>
  <dcterms:modified xsi:type="dcterms:W3CDTF">2025-05-23T08:51:01Z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2052-12.1.0.21171</vt:lpwstr>
  </property>
  <property fmtid="{D5CDD505-2E9C-101B-9397-08002B2CF9AE}" pid="15" name="ICV">
    <vt:lpwstr>0697406A7B1B4D93BCD48621E5D15BE9_12</vt:lpwstr>
  </property>
  <property fmtid="{D5CDD505-2E9C-101B-9397-08002B2CF9AE}" pid="16" name="KSOTemplateDocerSaveRecord">
    <vt:lpwstr>eyJoZGlkIjoiOGNmZThhNDUxMDI1MWQ0YjY1YWZkMThjNDliNzcxMjMiLCJ1c2VySWQiOiI0MjAwOTYzNjEifQ==</vt:lpwstr>
  </property>
</Properties>
</file>