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684B7" w14:textId="14AA19D3" w:rsidR="006E40F8" w:rsidRDefault="004E4240">
      <w:pPr>
        <w:autoSpaceDE w:val="0"/>
        <w:autoSpaceDN w:val="0"/>
        <w:adjustRightInd w:val="0"/>
        <w:snapToGrid w:val="0"/>
        <w:spacing w:beforeLines="50" w:before="156"/>
        <w:jc w:val="center"/>
        <w:rPr>
          <w:rFonts w:ascii="方正小标宋简体" w:eastAsia="方正小标宋简体" w:hAnsi="黑体"/>
          <w:kern w:val="0"/>
          <w:sz w:val="44"/>
          <w:szCs w:val="44"/>
        </w:rPr>
      </w:pPr>
      <w:r>
        <w:rPr>
          <w:rFonts w:ascii="方正小标宋简体" w:eastAsia="方正小标宋简体" w:hAnsi="黑体" w:hint="eastAsia"/>
          <w:kern w:val="0"/>
          <w:sz w:val="44"/>
          <w:szCs w:val="44"/>
        </w:rPr>
        <w:t>《水上航运大风气象</w:t>
      </w:r>
      <w:r w:rsidR="00320394">
        <w:rPr>
          <w:rFonts w:ascii="方正小标宋简体" w:eastAsia="方正小标宋简体" w:hAnsi="黑体" w:hint="eastAsia"/>
          <w:kern w:val="0"/>
          <w:sz w:val="44"/>
          <w:szCs w:val="44"/>
        </w:rPr>
        <w:t>风险</w:t>
      </w:r>
      <w:r>
        <w:rPr>
          <w:rFonts w:ascii="方正小标宋简体" w:eastAsia="方正小标宋简体" w:hAnsi="黑体" w:hint="eastAsia"/>
          <w:kern w:val="0"/>
          <w:sz w:val="44"/>
          <w:szCs w:val="44"/>
        </w:rPr>
        <w:t>分</w:t>
      </w:r>
      <w:r w:rsidR="00320394">
        <w:rPr>
          <w:rFonts w:ascii="方正小标宋简体" w:eastAsia="方正小标宋简体" w:hAnsi="黑体" w:hint="eastAsia"/>
          <w:kern w:val="0"/>
          <w:sz w:val="44"/>
          <w:szCs w:val="44"/>
        </w:rPr>
        <w:t>级规范》</w:t>
      </w:r>
    </w:p>
    <w:p w14:paraId="17BE3DFB" w14:textId="77777777" w:rsidR="006E40F8" w:rsidRDefault="00320394">
      <w:pPr>
        <w:autoSpaceDE w:val="0"/>
        <w:autoSpaceDN w:val="0"/>
        <w:adjustRightInd w:val="0"/>
        <w:snapToGrid w:val="0"/>
        <w:spacing w:afterLines="50" w:after="156"/>
        <w:jc w:val="center"/>
        <w:rPr>
          <w:rFonts w:ascii="方正小标宋简体" w:eastAsia="方正小标宋简体" w:hAnsi="黑体"/>
          <w:kern w:val="0"/>
          <w:sz w:val="44"/>
          <w:szCs w:val="44"/>
        </w:rPr>
      </w:pPr>
      <w:r>
        <w:rPr>
          <w:rFonts w:ascii="方正小标宋简体" w:eastAsia="方正小标宋简体" w:hAnsi="黑体" w:hint="eastAsia"/>
          <w:kern w:val="0"/>
          <w:sz w:val="44"/>
          <w:szCs w:val="44"/>
        </w:rPr>
        <w:t>南阳市地方标准编制说明</w:t>
      </w:r>
    </w:p>
    <w:p w14:paraId="00301C2D" w14:textId="77777777" w:rsidR="006E40F8" w:rsidRDefault="00320394">
      <w:pPr>
        <w:adjustRightInd w:val="0"/>
        <w:snapToGrid w:val="0"/>
        <w:spacing w:beforeLines="50" w:before="156" w:afterLines="50" w:after="156"/>
        <w:ind w:firstLineChars="200" w:firstLine="640"/>
        <w:jc w:val="left"/>
        <w:rPr>
          <w:rFonts w:ascii="黑体" w:eastAsia="黑体" w:hAnsi="黑体"/>
          <w:kern w:val="0"/>
          <w:sz w:val="28"/>
          <w:szCs w:val="28"/>
        </w:rPr>
      </w:pPr>
      <w:r>
        <w:rPr>
          <w:rFonts w:ascii="黑体" w:eastAsia="黑体" w:hAnsi="黑体" w:hint="eastAsia"/>
          <w:kern w:val="0"/>
          <w:sz w:val="32"/>
          <w:szCs w:val="32"/>
        </w:rPr>
        <w:t>一、</w:t>
      </w:r>
      <w:r>
        <w:rPr>
          <w:rFonts w:ascii="黑体" w:eastAsia="黑体" w:hAnsi="黑体" w:hint="eastAsia"/>
          <w:sz w:val="32"/>
          <w:szCs w:val="32"/>
        </w:rPr>
        <w:t>编制的目的和意义</w:t>
      </w:r>
    </w:p>
    <w:p w14:paraId="71EC62C6" w14:textId="4E9CFF17" w:rsidR="006E40F8" w:rsidRDefault="00320394">
      <w:pPr>
        <w:adjustRightInd w:val="0"/>
        <w:snapToGrid w:val="0"/>
        <w:ind w:firstLineChars="200" w:firstLine="640"/>
        <w:rPr>
          <w:rFonts w:ascii="仿宋_GB2312" w:eastAsia="仿宋_GB2312"/>
          <w:kern w:val="0"/>
          <w:sz w:val="32"/>
          <w:szCs w:val="32"/>
        </w:rPr>
      </w:pPr>
      <w:r>
        <w:rPr>
          <w:rFonts w:ascii="仿宋_GB2312" w:eastAsia="仿宋_GB2312" w:hint="eastAsia"/>
          <w:kern w:val="0"/>
          <w:sz w:val="32"/>
          <w:szCs w:val="32"/>
        </w:rPr>
        <w:t>南阳地处北纬32°17′-33°48′，东经110°58′-113°49′，处于</w:t>
      </w:r>
      <w:proofErr w:type="gramStart"/>
      <w:r>
        <w:rPr>
          <w:rFonts w:ascii="仿宋_GB2312" w:eastAsia="仿宋_GB2312" w:hint="eastAsia"/>
          <w:kern w:val="0"/>
          <w:sz w:val="32"/>
          <w:szCs w:val="32"/>
        </w:rPr>
        <w:t>亚热带向暖温带</w:t>
      </w:r>
      <w:proofErr w:type="gramEnd"/>
      <w:r>
        <w:rPr>
          <w:rFonts w:ascii="仿宋_GB2312" w:eastAsia="仿宋_GB2312" w:hint="eastAsia"/>
          <w:kern w:val="0"/>
          <w:sz w:val="32"/>
          <w:szCs w:val="32"/>
        </w:rPr>
        <w:t>的过渡地带，属典型的季风大陆半湿润气候，四季分明，阳光充足，雨量充沛。南阳是南水北调中线工程水源地和渠首所在地，市内河流众多，分属长江、淮河、黄河三大水系，长度在</w:t>
      </w:r>
      <w:proofErr w:type="gramStart"/>
      <w:r>
        <w:rPr>
          <w:rFonts w:ascii="仿宋_GB2312" w:eastAsia="仿宋_GB2312" w:hint="eastAsia"/>
          <w:kern w:val="0"/>
          <w:sz w:val="32"/>
          <w:szCs w:val="32"/>
        </w:rPr>
        <w:t>百公里</w:t>
      </w:r>
      <w:proofErr w:type="gramEnd"/>
      <w:r>
        <w:rPr>
          <w:rFonts w:ascii="仿宋_GB2312" w:eastAsia="仿宋_GB2312" w:hint="eastAsia"/>
          <w:kern w:val="0"/>
          <w:sz w:val="32"/>
          <w:szCs w:val="32"/>
        </w:rPr>
        <w:t>以上的河流有10条。全市主要河流有丹江、唐河、白河、淮河、湍河、刁河、灌河等。南阳唐白河复航工程是省市重点项目，是《全国内河航道与港口布局规划》“四纵四横两网”高等级航道网中第四</w:t>
      </w:r>
      <w:proofErr w:type="gramStart"/>
      <w:r>
        <w:rPr>
          <w:rFonts w:ascii="仿宋_GB2312" w:eastAsia="仿宋_GB2312" w:hint="eastAsia"/>
          <w:kern w:val="0"/>
          <w:sz w:val="32"/>
          <w:szCs w:val="32"/>
        </w:rPr>
        <w:t>纵</w:t>
      </w:r>
      <w:proofErr w:type="gramEnd"/>
      <w:r>
        <w:rPr>
          <w:rFonts w:ascii="仿宋_GB2312" w:eastAsia="仿宋_GB2312" w:hint="eastAsia"/>
          <w:kern w:val="0"/>
          <w:sz w:val="32"/>
          <w:szCs w:val="32"/>
        </w:rPr>
        <w:t>“汉湘桂”通道的重要组成部分，也是《河南省内河航道与港口布局规划（2022—2035年）》“一纵三横九支+其他航道”的唯一纵向高等级航道。项目建成后，将形成一条沟通武汉城市群与中原城市群、长江经济带与新丝绸之路经济带的南北水运大通道。南阳市地形地貌复杂，气象灾害多发频发易发，大风是水上航运的主要灾害性天气之一。在全球变暖，极端灾害性天气频发的背景</w:t>
      </w:r>
      <w:r w:rsidR="000A5B7E">
        <w:rPr>
          <w:rFonts w:ascii="仿宋_GB2312" w:eastAsia="仿宋_GB2312" w:hint="eastAsia"/>
          <w:kern w:val="0"/>
          <w:sz w:val="32"/>
          <w:szCs w:val="32"/>
        </w:rPr>
        <w:t>下，如何有效</w:t>
      </w:r>
      <w:r>
        <w:rPr>
          <w:rFonts w:ascii="仿宋_GB2312" w:eastAsia="仿宋_GB2312" w:hint="eastAsia"/>
          <w:kern w:val="0"/>
          <w:sz w:val="32"/>
          <w:szCs w:val="32"/>
        </w:rPr>
        <w:t>减少大风气象灾害对水上航运的影响，根据大风</w:t>
      </w:r>
      <w:r w:rsidR="004E4240">
        <w:rPr>
          <w:rFonts w:ascii="仿宋_GB2312" w:eastAsia="仿宋_GB2312" w:hint="eastAsia"/>
          <w:kern w:val="0"/>
          <w:sz w:val="32"/>
          <w:szCs w:val="32"/>
        </w:rPr>
        <w:t>气象</w:t>
      </w:r>
      <w:r>
        <w:rPr>
          <w:rFonts w:ascii="仿宋_GB2312" w:eastAsia="仿宋_GB2312" w:hint="eastAsia"/>
          <w:kern w:val="0"/>
          <w:sz w:val="32"/>
          <w:szCs w:val="32"/>
        </w:rPr>
        <w:t>风险</w:t>
      </w:r>
      <w:r w:rsidR="004E4240">
        <w:rPr>
          <w:rFonts w:ascii="仿宋_GB2312" w:eastAsia="仿宋_GB2312" w:hint="eastAsia"/>
          <w:kern w:val="0"/>
          <w:sz w:val="32"/>
          <w:szCs w:val="32"/>
        </w:rPr>
        <w:t>分</w:t>
      </w:r>
      <w:r>
        <w:rPr>
          <w:rFonts w:ascii="仿宋_GB2312" w:eastAsia="仿宋_GB2312" w:hint="eastAsia"/>
          <w:kern w:val="0"/>
          <w:sz w:val="32"/>
          <w:szCs w:val="32"/>
        </w:rPr>
        <w:t>级规范提前疏散船舶，避免人员伤亡和船舶损失，是防灾减灾工作中的关键环节，在航运管理、应急救援、辅助决策等工作中发挥着重要作用。</w:t>
      </w:r>
    </w:p>
    <w:p w14:paraId="4AE8D156" w14:textId="4176771D" w:rsidR="006E40F8" w:rsidRDefault="00320394">
      <w:pPr>
        <w:adjustRightInd w:val="0"/>
        <w:snapToGrid w:val="0"/>
        <w:ind w:firstLineChars="200" w:firstLine="640"/>
        <w:rPr>
          <w:rFonts w:ascii="仿宋_GB2312" w:eastAsia="仿宋_GB2312"/>
          <w:kern w:val="0"/>
          <w:sz w:val="32"/>
          <w:szCs w:val="32"/>
        </w:rPr>
      </w:pPr>
      <w:r>
        <w:rPr>
          <w:rFonts w:ascii="仿宋_GB2312" w:eastAsia="仿宋_GB2312" w:hint="eastAsia"/>
          <w:kern w:val="0"/>
          <w:sz w:val="32"/>
          <w:szCs w:val="32"/>
        </w:rPr>
        <w:t>对交通安全而言，气象致灾条件在陆地上和水面上是有差异的。目前我国涉及航运大风</w:t>
      </w:r>
      <w:r w:rsidR="004E4240">
        <w:rPr>
          <w:rFonts w:ascii="仿宋_GB2312" w:eastAsia="仿宋_GB2312" w:hint="eastAsia"/>
          <w:kern w:val="0"/>
          <w:sz w:val="32"/>
          <w:szCs w:val="32"/>
        </w:rPr>
        <w:t>气象灾害风险</w:t>
      </w:r>
      <w:r>
        <w:rPr>
          <w:rFonts w:ascii="仿宋_GB2312" w:eastAsia="仿宋_GB2312" w:hint="eastAsia"/>
          <w:kern w:val="0"/>
          <w:sz w:val="32"/>
          <w:szCs w:val="32"/>
        </w:rPr>
        <w:t>的规范多分散于气象预警（如《台风暴雨洪涝灾害预警信号发布与传播办法》）、船舶操作（如《船舶防抗台风操作指南》）等文件中，缺乏针对“风险</w:t>
      </w:r>
      <w:r w:rsidR="004E4240">
        <w:rPr>
          <w:rFonts w:ascii="仿宋_GB2312" w:eastAsia="仿宋_GB2312" w:hint="eastAsia"/>
          <w:kern w:val="0"/>
          <w:sz w:val="32"/>
          <w:szCs w:val="32"/>
        </w:rPr>
        <w:t>分级</w:t>
      </w:r>
      <w:r>
        <w:rPr>
          <w:rFonts w:ascii="仿宋_GB2312" w:eastAsia="仿宋_GB2312" w:hint="eastAsia"/>
          <w:kern w:val="0"/>
          <w:sz w:val="32"/>
          <w:szCs w:val="32"/>
        </w:rPr>
        <w:t>”的系统性规范，导致水上航运大风</w:t>
      </w:r>
      <w:r w:rsidR="004E4240">
        <w:rPr>
          <w:rFonts w:ascii="仿宋_GB2312" w:eastAsia="仿宋_GB2312" w:hint="eastAsia"/>
          <w:kern w:val="0"/>
          <w:sz w:val="32"/>
          <w:szCs w:val="32"/>
        </w:rPr>
        <w:t>气象</w:t>
      </w:r>
      <w:r>
        <w:rPr>
          <w:rFonts w:ascii="仿宋_GB2312" w:eastAsia="仿宋_GB2312" w:hint="eastAsia"/>
          <w:kern w:val="0"/>
          <w:sz w:val="32"/>
          <w:szCs w:val="32"/>
        </w:rPr>
        <w:t>风险</w:t>
      </w:r>
      <w:r w:rsidR="004E4240">
        <w:rPr>
          <w:rFonts w:ascii="仿宋_GB2312" w:eastAsia="仿宋_GB2312" w:hint="eastAsia"/>
          <w:kern w:val="0"/>
          <w:sz w:val="32"/>
          <w:szCs w:val="32"/>
        </w:rPr>
        <w:t>分</w:t>
      </w:r>
      <w:r>
        <w:rPr>
          <w:rFonts w:ascii="仿宋_GB2312" w:eastAsia="仿宋_GB2312" w:hint="eastAsia"/>
          <w:kern w:val="0"/>
          <w:sz w:val="32"/>
          <w:szCs w:val="32"/>
        </w:rPr>
        <w:t>级规范和对应防御指南并没有形成统一的标准，不利于气象部门规范开展预警服务业务，同时也阻碍了水上航运应急管理能力的提升，不利于水运管理部门和船舶及时有效地科学应对恶劣天气，因此，非常有必要开展水上航运大风</w:t>
      </w:r>
      <w:r w:rsidR="004E4240">
        <w:rPr>
          <w:rFonts w:ascii="仿宋_GB2312" w:eastAsia="仿宋_GB2312" w:hint="eastAsia"/>
          <w:kern w:val="0"/>
          <w:sz w:val="32"/>
          <w:szCs w:val="32"/>
        </w:rPr>
        <w:t>气象</w:t>
      </w:r>
      <w:r>
        <w:rPr>
          <w:rFonts w:ascii="仿宋_GB2312" w:eastAsia="仿宋_GB2312" w:hint="eastAsia"/>
          <w:kern w:val="0"/>
          <w:sz w:val="32"/>
          <w:szCs w:val="32"/>
        </w:rPr>
        <w:t>风险</w:t>
      </w:r>
      <w:r w:rsidR="004E4240">
        <w:rPr>
          <w:rFonts w:ascii="仿宋_GB2312" w:eastAsia="仿宋_GB2312" w:hint="eastAsia"/>
          <w:kern w:val="0"/>
          <w:sz w:val="32"/>
          <w:szCs w:val="32"/>
        </w:rPr>
        <w:t>分</w:t>
      </w:r>
      <w:r>
        <w:rPr>
          <w:rFonts w:ascii="仿宋_GB2312" w:eastAsia="仿宋_GB2312" w:hint="eastAsia"/>
          <w:kern w:val="0"/>
          <w:sz w:val="32"/>
          <w:szCs w:val="32"/>
        </w:rPr>
        <w:t xml:space="preserve">级规范的制定工作。 </w:t>
      </w:r>
    </w:p>
    <w:p w14:paraId="350200F9"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lastRenderedPageBreak/>
        <w:t>二、任务来源及编制原则和依据</w:t>
      </w:r>
    </w:p>
    <w:p w14:paraId="34AC6DB3" w14:textId="77777777" w:rsidR="006E40F8" w:rsidRDefault="00320394">
      <w:pPr>
        <w:adjustRightInd w:val="0"/>
        <w:snapToGrid w:val="0"/>
        <w:ind w:firstLineChars="196" w:firstLine="627"/>
        <w:jc w:val="left"/>
        <w:rPr>
          <w:rFonts w:ascii="楷体" w:eastAsia="楷体" w:hAnsi="楷体"/>
          <w:kern w:val="0"/>
          <w:sz w:val="32"/>
          <w:szCs w:val="32"/>
        </w:rPr>
      </w:pPr>
      <w:r>
        <w:rPr>
          <w:rFonts w:ascii="楷体" w:eastAsia="楷体" w:hAnsi="楷体" w:hint="eastAsia"/>
          <w:kern w:val="0"/>
          <w:sz w:val="32"/>
          <w:szCs w:val="32"/>
        </w:rPr>
        <w:t>（一）任务来源</w:t>
      </w:r>
    </w:p>
    <w:p w14:paraId="44060245" w14:textId="15AE0081"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目前，无水上航运大风</w:t>
      </w:r>
      <w:r w:rsidR="004E4240">
        <w:rPr>
          <w:rFonts w:ascii="仿宋_GB2312" w:eastAsia="仿宋_GB2312" w:hint="eastAsia"/>
          <w:kern w:val="0"/>
          <w:sz w:val="32"/>
          <w:szCs w:val="32"/>
        </w:rPr>
        <w:t>气象</w:t>
      </w:r>
      <w:r>
        <w:rPr>
          <w:rFonts w:ascii="仿宋_GB2312" w:eastAsia="仿宋_GB2312" w:hint="eastAsia"/>
          <w:kern w:val="0"/>
          <w:sz w:val="32"/>
          <w:szCs w:val="32"/>
        </w:rPr>
        <w:t>风险</w:t>
      </w:r>
      <w:r w:rsidR="004E4240">
        <w:rPr>
          <w:rFonts w:ascii="仿宋_GB2312" w:eastAsia="仿宋_GB2312" w:hint="eastAsia"/>
          <w:kern w:val="0"/>
          <w:sz w:val="32"/>
          <w:szCs w:val="32"/>
        </w:rPr>
        <w:t>分</w:t>
      </w:r>
      <w:r>
        <w:rPr>
          <w:rFonts w:ascii="仿宋_GB2312" w:eastAsia="仿宋_GB2312" w:hint="eastAsia"/>
          <w:kern w:val="0"/>
          <w:sz w:val="32"/>
          <w:szCs w:val="32"/>
        </w:rPr>
        <w:t>级规范的国家标准，可查的标准主要是部分行业标准和个别地方标准。如由中国气象局负责起草的气象行业标准《海上大风预警等级》（GB/</w:t>
      </w:r>
      <w:proofErr w:type="spellStart"/>
      <w:r>
        <w:rPr>
          <w:rFonts w:ascii="仿宋_GB2312" w:eastAsia="仿宋_GB2312" w:hint="eastAsia"/>
          <w:kern w:val="0"/>
          <w:sz w:val="32"/>
          <w:szCs w:val="32"/>
        </w:rPr>
        <w:t>T27958</w:t>
      </w:r>
      <w:proofErr w:type="spellEnd"/>
      <w:r>
        <w:rPr>
          <w:rFonts w:ascii="仿宋_GB2312" w:eastAsia="仿宋_GB2312" w:hint="eastAsia"/>
          <w:kern w:val="0"/>
          <w:sz w:val="32"/>
          <w:szCs w:val="32"/>
        </w:rPr>
        <w:t>—2011），由新疆维吾尔自治区气象局提出的《大风预警等级》（</w:t>
      </w:r>
      <w:proofErr w:type="spellStart"/>
      <w:r>
        <w:rPr>
          <w:rFonts w:ascii="仿宋_GB2312" w:eastAsia="仿宋_GB2312" w:hint="eastAsia"/>
          <w:kern w:val="0"/>
          <w:sz w:val="32"/>
          <w:szCs w:val="32"/>
        </w:rPr>
        <w:t>DB65</w:t>
      </w:r>
      <w:proofErr w:type="spellEnd"/>
      <w:r>
        <w:rPr>
          <w:rFonts w:ascii="仿宋_GB2312" w:eastAsia="仿宋_GB2312" w:hint="eastAsia"/>
          <w:kern w:val="0"/>
          <w:sz w:val="32"/>
          <w:szCs w:val="32"/>
        </w:rPr>
        <w:t>/T 4043-2017），由湖南省气象局提出的《水上交通气象灾害风险预警等级划分预评标准》（</w:t>
      </w:r>
      <w:proofErr w:type="spellStart"/>
      <w:r>
        <w:rPr>
          <w:rFonts w:ascii="仿宋_GB2312" w:eastAsia="仿宋_GB2312" w:hint="eastAsia"/>
          <w:kern w:val="0"/>
          <w:sz w:val="32"/>
          <w:szCs w:val="32"/>
        </w:rPr>
        <w:t>DB43</w:t>
      </w:r>
      <w:proofErr w:type="spellEnd"/>
      <w:r>
        <w:rPr>
          <w:rFonts w:ascii="仿宋_GB2312" w:eastAsia="仿宋_GB2312" w:hint="eastAsia"/>
          <w:kern w:val="0"/>
          <w:sz w:val="32"/>
          <w:szCs w:val="32"/>
        </w:rPr>
        <w:t>/T 2055—2021</w:t>
      </w:r>
      <w:r w:rsidR="0083416E">
        <w:rPr>
          <w:rFonts w:ascii="仿宋_GB2312" w:eastAsia="仿宋_GB2312" w:hint="eastAsia"/>
          <w:kern w:val="0"/>
          <w:sz w:val="32"/>
          <w:szCs w:val="32"/>
        </w:rPr>
        <w:t>），以上标准对编制</w:t>
      </w:r>
      <w:r>
        <w:rPr>
          <w:rFonts w:ascii="仿宋_GB2312" w:eastAsia="仿宋_GB2312" w:hint="eastAsia"/>
          <w:kern w:val="0"/>
          <w:sz w:val="32"/>
          <w:szCs w:val="32"/>
        </w:rPr>
        <w:t>水上航运大风</w:t>
      </w:r>
      <w:r w:rsidR="004E4240">
        <w:rPr>
          <w:rFonts w:ascii="仿宋_GB2312" w:eastAsia="仿宋_GB2312" w:hint="eastAsia"/>
          <w:kern w:val="0"/>
          <w:sz w:val="32"/>
          <w:szCs w:val="32"/>
        </w:rPr>
        <w:t>气象</w:t>
      </w:r>
      <w:r>
        <w:rPr>
          <w:rFonts w:ascii="仿宋_GB2312" w:eastAsia="仿宋_GB2312" w:hint="eastAsia"/>
          <w:kern w:val="0"/>
          <w:sz w:val="32"/>
          <w:szCs w:val="32"/>
        </w:rPr>
        <w:t>风险</w:t>
      </w:r>
      <w:r w:rsidR="004E4240">
        <w:rPr>
          <w:rFonts w:ascii="仿宋_GB2312" w:eastAsia="仿宋_GB2312" w:hint="eastAsia"/>
          <w:kern w:val="0"/>
          <w:sz w:val="32"/>
          <w:szCs w:val="32"/>
        </w:rPr>
        <w:t>分级</w:t>
      </w:r>
      <w:r w:rsidR="0085636B">
        <w:rPr>
          <w:rFonts w:ascii="仿宋_GB2312" w:eastAsia="仿宋_GB2312" w:hint="eastAsia"/>
          <w:kern w:val="0"/>
          <w:sz w:val="32"/>
          <w:szCs w:val="32"/>
        </w:rPr>
        <w:t>规范有一定的参考和借鉴意义，但对于新形势新挑战下，</w:t>
      </w:r>
      <w:bookmarkStart w:id="0" w:name="_GoBack"/>
      <w:bookmarkEnd w:id="0"/>
      <w:r>
        <w:rPr>
          <w:rFonts w:ascii="仿宋_GB2312" w:eastAsia="仿宋_GB2312" w:hint="eastAsia"/>
          <w:kern w:val="0"/>
          <w:sz w:val="32"/>
          <w:szCs w:val="32"/>
        </w:rPr>
        <w:t>大风气象灾害对水上航运安全的需求和高质量发展仍有一定差距。</w:t>
      </w:r>
    </w:p>
    <w:p w14:paraId="3DB147D4" w14:textId="47E28639" w:rsidR="006E40F8" w:rsidRPr="00320394" w:rsidRDefault="00320394" w:rsidP="00320394">
      <w:pPr>
        <w:snapToGrid w:val="0"/>
        <w:ind w:firstLineChars="200" w:firstLine="640"/>
        <w:rPr>
          <w:rFonts w:ascii="仿宋_GB2312" w:eastAsia="仿宋_GB2312" w:hAnsi="宋体"/>
          <w:sz w:val="32"/>
          <w:szCs w:val="32"/>
        </w:rPr>
      </w:pPr>
      <w:r>
        <w:rPr>
          <w:rFonts w:ascii="仿宋_GB2312" w:eastAsia="仿宋_GB2312" w:hint="eastAsia"/>
          <w:kern w:val="0"/>
          <w:sz w:val="32"/>
          <w:szCs w:val="32"/>
        </w:rPr>
        <w:t>为满足南阳唐白河复航工程的战略需求,提高精细化气象服务要求,制定水上航运大风气象风险</w:t>
      </w:r>
      <w:r w:rsidR="004E4240">
        <w:rPr>
          <w:rFonts w:ascii="仿宋_GB2312" w:eastAsia="仿宋_GB2312" w:hint="eastAsia"/>
          <w:kern w:val="0"/>
          <w:sz w:val="32"/>
          <w:szCs w:val="32"/>
        </w:rPr>
        <w:t>分</w:t>
      </w:r>
      <w:r>
        <w:rPr>
          <w:rFonts w:ascii="仿宋_GB2312" w:eastAsia="仿宋_GB2312" w:hint="eastAsia"/>
          <w:kern w:val="0"/>
          <w:sz w:val="32"/>
          <w:szCs w:val="32"/>
        </w:rPr>
        <w:t>级规范。2024年12,南阳市气象台提出并起草</w:t>
      </w:r>
      <w:r w:rsidRPr="00320394">
        <w:rPr>
          <w:rFonts w:ascii="仿宋_GB2312" w:eastAsia="仿宋_GB2312" w:hint="eastAsia"/>
          <w:kern w:val="0"/>
          <w:sz w:val="32"/>
          <w:szCs w:val="32"/>
        </w:rPr>
        <w:t>《水上航运大风</w:t>
      </w:r>
      <w:r w:rsidR="004E4240">
        <w:rPr>
          <w:rFonts w:ascii="仿宋_GB2312" w:eastAsia="仿宋_GB2312" w:hint="eastAsia"/>
          <w:kern w:val="0"/>
          <w:sz w:val="32"/>
          <w:szCs w:val="32"/>
        </w:rPr>
        <w:t>气象风险分</w:t>
      </w:r>
      <w:r w:rsidRPr="00320394">
        <w:rPr>
          <w:rFonts w:ascii="仿宋_GB2312" w:eastAsia="仿宋_GB2312" w:hint="eastAsia"/>
          <w:kern w:val="0"/>
          <w:sz w:val="32"/>
          <w:szCs w:val="32"/>
        </w:rPr>
        <w:t>级规范》，202</w:t>
      </w:r>
      <w:r w:rsidRPr="00320394">
        <w:rPr>
          <w:rFonts w:ascii="仿宋_GB2312" w:eastAsia="仿宋_GB2312"/>
          <w:kern w:val="0"/>
          <w:sz w:val="32"/>
          <w:szCs w:val="32"/>
        </w:rPr>
        <w:t>5</w:t>
      </w:r>
      <w:r w:rsidRPr="00320394">
        <w:rPr>
          <w:rFonts w:ascii="仿宋_GB2312" w:eastAsia="仿宋_GB2312" w:hint="eastAsia"/>
          <w:kern w:val="0"/>
          <w:sz w:val="32"/>
          <w:szCs w:val="32"/>
        </w:rPr>
        <w:t>年4月南阳市场监督管理局下发了《南阳市市场监督管理局关于下达202</w:t>
      </w:r>
      <w:r w:rsidRPr="00320394">
        <w:rPr>
          <w:rFonts w:ascii="仿宋_GB2312" w:eastAsia="仿宋_GB2312"/>
          <w:kern w:val="0"/>
          <w:sz w:val="32"/>
          <w:szCs w:val="32"/>
        </w:rPr>
        <w:t>5</w:t>
      </w:r>
      <w:r w:rsidRPr="00320394">
        <w:rPr>
          <w:rFonts w:ascii="仿宋_GB2312" w:eastAsia="仿宋_GB2312" w:hint="eastAsia"/>
          <w:kern w:val="0"/>
          <w:sz w:val="32"/>
          <w:szCs w:val="32"/>
        </w:rPr>
        <w:t>年南阳市地方标准制订计划的通知》（</w:t>
      </w:r>
      <w:proofErr w:type="gramStart"/>
      <w:r w:rsidRPr="00320394">
        <w:rPr>
          <w:rFonts w:ascii="仿宋_GB2312" w:eastAsia="仿宋_GB2312" w:hint="eastAsia"/>
          <w:kern w:val="0"/>
          <w:sz w:val="32"/>
          <w:szCs w:val="32"/>
        </w:rPr>
        <w:t>宛市监</w:t>
      </w:r>
      <w:proofErr w:type="gramEnd"/>
      <w:r w:rsidRPr="00320394">
        <w:rPr>
          <w:rFonts w:ascii="仿宋_GB2312" w:eastAsia="仿宋_GB2312" w:hint="eastAsia"/>
          <w:kern w:val="0"/>
          <w:sz w:val="32"/>
          <w:szCs w:val="32"/>
        </w:rPr>
        <w:t>函〔202</w:t>
      </w:r>
      <w:r w:rsidRPr="00320394">
        <w:rPr>
          <w:rFonts w:ascii="仿宋_GB2312" w:eastAsia="仿宋_GB2312"/>
          <w:kern w:val="0"/>
          <w:sz w:val="32"/>
          <w:szCs w:val="32"/>
        </w:rPr>
        <w:t>5</w:t>
      </w:r>
      <w:r w:rsidRPr="00320394">
        <w:rPr>
          <w:rFonts w:ascii="仿宋_GB2312" w:eastAsia="仿宋_GB2312" w:hint="eastAsia"/>
          <w:kern w:val="0"/>
          <w:sz w:val="32"/>
          <w:szCs w:val="32"/>
        </w:rPr>
        <w:t>〕</w:t>
      </w:r>
      <w:r w:rsidRPr="00320394">
        <w:rPr>
          <w:rFonts w:ascii="仿宋_GB2312" w:eastAsia="仿宋_GB2312"/>
          <w:kern w:val="0"/>
          <w:sz w:val="32"/>
          <w:szCs w:val="32"/>
        </w:rPr>
        <w:t>12</w:t>
      </w:r>
      <w:r w:rsidRPr="00320394">
        <w:rPr>
          <w:rFonts w:ascii="仿宋_GB2312" w:eastAsia="仿宋_GB2312" w:hint="eastAsia"/>
          <w:kern w:val="0"/>
          <w:sz w:val="32"/>
          <w:szCs w:val="32"/>
        </w:rPr>
        <w:t>号），正式下达《水上航运大风</w:t>
      </w:r>
      <w:r w:rsidR="004E4240">
        <w:rPr>
          <w:rFonts w:ascii="仿宋_GB2312" w:eastAsia="仿宋_GB2312" w:hint="eastAsia"/>
          <w:kern w:val="0"/>
          <w:sz w:val="32"/>
          <w:szCs w:val="32"/>
        </w:rPr>
        <w:t>气象风险分</w:t>
      </w:r>
      <w:r w:rsidRPr="00320394">
        <w:rPr>
          <w:rFonts w:ascii="仿宋_GB2312" w:eastAsia="仿宋_GB2312" w:hint="eastAsia"/>
          <w:kern w:val="0"/>
          <w:sz w:val="32"/>
          <w:szCs w:val="32"/>
        </w:rPr>
        <w:t>级规范》项目，由</w:t>
      </w:r>
      <w:r w:rsidR="001D1E67" w:rsidRPr="001D1E67">
        <w:rPr>
          <w:rFonts w:ascii="仿宋_GB2312" w:eastAsia="仿宋_GB2312" w:hint="eastAsia"/>
          <w:kern w:val="0"/>
          <w:sz w:val="32"/>
          <w:szCs w:val="32"/>
        </w:rPr>
        <w:t>南阳市气象标准化技术委员会</w:t>
      </w:r>
      <w:r w:rsidRPr="00320394">
        <w:rPr>
          <w:rFonts w:ascii="仿宋_GB2312" w:eastAsia="仿宋_GB2312" w:hint="eastAsia"/>
          <w:kern w:val="0"/>
          <w:sz w:val="32"/>
          <w:szCs w:val="32"/>
        </w:rPr>
        <w:t>归口</w:t>
      </w:r>
      <w:r>
        <w:rPr>
          <w:rFonts w:ascii="仿宋_GB2312" w:eastAsia="仿宋_GB2312" w:hint="eastAsia"/>
          <w:kern w:val="0"/>
          <w:sz w:val="32"/>
          <w:szCs w:val="32"/>
        </w:rPr>
        <w:t>，</w:t>
      </w:r>
      <w:r w:rsidRPr="00320394">
        <w:rPr>
          <w:rFonts w:ascii="仿宋_GB2312" w:eastAsia="仿宋_GB2312" w:hint="eastAsia"/>
          <w:kern w:val="0"/>
          <w:sz w:val="32"/>
          <w:szCs w:val="32"/>
        </w:rPr>
        <w:t>南阳市</w:t>
      </w:r>
      <w:r>
        <w:rPr>
          <w:rFonts w:ascii="仿宋_GB2312" w:eastAsia="仿宋_GB2312" w:hint="eastAsia"/>
          <w:kern w:val="0"/>
          <w:sz w:val="32"/>
          <w:szCs w:val="32"/>
        </w:rPr>
        <w:t>气象台</w:t>
      </w:r>
      <w:r w:rsidRPr="00320394">
        <w:rPr>
          <w:rFonts w:ascii="仿宋_GB2312" w:eastAsia="仿宋_GB2312" w:hint="eastAsia"/>
          <w:kern w:val="0"/>
          <w:sz w:val="32"/>
          <w:szCs w:val="32"/>
        </w:rPr>
        <w:t>承担标准的起草工作</w:t>
      </w:r>
      <w:r w:rsidRPr="00F3740C">
        <w:rPr>
          <w:rFonts w:ascii="仿宋_GB2312" w:eastAsia="仿宋_GB2312" w:hAnsi="宋体" w:hint="eastAsia"/>
          <w:sz w:val="32"/>
          <w:szCs w:val="32"/>
        </w:rPr>
        <w:t>。</w:t>
      </w:r>
    </w:p>
    <w:p w14:paraId="5228A40B" w14:textId="77777777" w:rsidR="006E40F8" w:rsidRDefault="00320394">
      <w:pPr>
        <w:adjustRightInd w:val="0"/>
        <w:snapToGrid w:val="0"/>
        <w:ind w:firstLineChars="196" w:firstLine="627"/>
        <w:jc w:val="left"/>
        <w:rPr>
          <w:rFonts w:ascii="楷体_GB2312" w:eastAsia="楷体_GB2312" w:hAnsi="黑体"/>
          <w:kern w:val="0"/>
          <w:sz w:val="32"/>
          <w:szCs w:val="32"/>
        </w:rPr>
      </w:pPr>
      <w:r>
        <w:rPr>
          <w:rFonts w:ascii="楷体" w:eastAsia="楷体" w:hAnsi="楷体" w:hint="eastAsia"/>
          <w:kern w:val="0"/>
          <w:sz w:val="32"/>
          <w:szCs w:val="32"/>
        </w:rPr>
        <w:t>（二）编制原则和依据</w:t>
      </w:r>
    </w:p>
    <w:p w14:paraId="5171C411" w14:textId="31414E0C"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南阳市人民政府印发的《南阳市水上突发事件应急预案》（宛政办</w:t>
      </w:r>
      <w:r w:rsidRPr="00320394">
        <w:rPr>
          <w:rFonts w:ascii="仿宋_GB2312" w:eastAsia="仿宋_GB2312" w:hint="eastAsia"/>
          <w:kern w:val="0"/>
          <w:sz w:val="32"/>
          <w:szCs w:val="32"/>
        </w:rPr>
        <w:t>〔</w:t>
      </w:r>
      <w:r>
        <w:rPr>
          <w:rFonts w:ascii="仿宋_GB2312" w:eastAsia="仿宋_GB2312" w:hint="eastAsia"/>
          <w:kern w:val="0"/>
          <w:sz w:val="32"/>
          <w:szCs w:val="32"/>
        </w:rPr>
        <w:t>2022</w:t>
      </w:r>
      <w:r w:rsidRPr="00320394">
        <w:rPr>
          <w:rFonts w:ascii="仿宋_GB2312" w:eastAsia="仿宋_GB2312" w:hint="eastAsia"/>
          <w:kern w:val="0"/>
          <w:sz w:val="32"/>
          <w:szCs w:val="32"/>
        </w:rPr>
        <w:t>〕</w:t>
      </w:r>
      <w:r>
        <w:rPr>
          <w:rFonts w:ascii="仿宋_GB2312" w:eastAsia="仿宋_GB2312" w:hint="eastAsia"/>
          <w:kern w:val="0"/>
          <w:sz w:val="32"/>
          <w:szCs w:val="32"/>
        </w:rPr>
        <w:t>64号），以保障水上航运中人员生命、船舶及货物安全为首要目标。通过对不同风力条件下航运风险的评估，制定出相应等级标准，为航运活动提供安全指引，尽可能降低大风天气对航运的危害。</w:t>
      </w:r>
    </w:p>
    <w:p w14:paraId="654F8375"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t>三、编制过程</w:t>
      </w:r>
    </w:p>
    <w:p w14:paraId="582F205A" w14:textId="77777777" w:rsidR="006E40F8" w:rsidRDefault="00320394">
      <w:pPr>
        <w:adjustRightInd w:val="0"/>
        <w:snapToGrid w:val="0"/>
        <w:ind w:firstLineChars="196" w:firstLine="627"/>
        <w:jc w:val="left"/>
        <w:rPr>
          <w:rFonts w:ascii="楷体" w:eastAsia="楷体" w:hAnsi="楷体"/>
          <w:kern w:val="0"/>
          <w:sz w:val="32"/>
          <w:szCs w:val="32"/>
        </w:rPr>
      </w:pPr>
      <w:r>
        <w:rPr>
          <w:rFonts w:ascii="楷体" w:eastAsia="楷体" w:hAnsi="楷体"/>
          <w:kern w:val="0"/>
          <w:sz w:val="32"/>
          <w:szCs w:val="32"/>
        </w:rPr>
        <w:t>（</w:t>
      </w:r>
      <w:r>
        <w:rPr>
          <w:rFonts w:ascii="楷体" w:eastAsia="楷体" w:hAnsi="楷体" w:hint="eastAsia"/>
          <w:kern w:val="0"/>
          <w:sz w:val="32"/>
          <w:szCs w:val="32"/>
        </w:rPr>
        <w:t>一</w:t>
      </w:r>
      <w:r>
        <w:rPr>
          <w:rFonts w:ascii="楷体" w:eastAsia="楷体" w:hAnsi="楷体"/>
          <w:kern w:val="0"/>
          <w:sz w:val="32"/>
          <w:szCs w:val="32"/>
        </w:rPr>
        <w:t>）</w:t>
      </w:r>
      <w:r>
        <w:rPr>
          <w:rFonts w:ascii="楷体" w:eastAsia="楷体" w:hAnsi="楷体" w:hint="eastAsia"/>
          <w:kern w:val="0"/>
          <w:sz w:val="32"/>
          <w:szCs w:val="32"/>
        </w:rPr>
        <w:t>标准起草阶段</w:t>
      </w:r>
    </w:p>
    <w:p w14:paraId="7E8D0728"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本标准经南阳市市场监督管理局立项通过后，由南阳市气象台吴迪同志负责。主要起草人吴迪，南京信息工程大学大气科学学院大气科学专业毕业。熟悉南阳市灾害性天气的预报方法，擅长短时强降水、雷暴大风、冰雹等灾害性天气的短临诊断和预报，</w:t>
      </w:r>
      <w:r>
        <w:rPr>
          <w:rFonts w:ascii="仿宋_GB2312" w:eastAsia="仿宋_GB2312" w:hint="eastAsia"/>
          <w:kern w:val="0"/>
          <w:sz w:val="32"/>
          <w:szCs w:val="32"/>
        </w:rPr>
        <w:lastRenderedPageBreak/>
        <w:t>多次对县级业务人员进行业务服务培训。在南阳端午节龙舟赛、全国赛艇皮划艇U系列青少年联赛、全省防汛演练等重大水上活动中提供精细化预报，取得了良好的服务效果。在南阳市极端大风预报工作中，积累了丰富的预报和服务经验。</w:t>
      </w:r>
    </w:p>
    <w:p w14:paraId="70AF2F61"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开展了南阳水上航运大风气象灾害风险调查。采用专家评估法、历史分析法，结合现场勘查，收集整理了南阳河道的基础地理信息、隐患区域信息、事故资料以及气象监测资料。</w:t>
      </w:r>
    </w:p>
    <w:p w14:paraId="45437857"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对河道周边站点2021年-2023年逐日逐小时的平均风速、最大风速和极大风速数据，结合河道的基础地理信息进行统计分析。</w:t>
      </w:r>
    </w:p>
    <w:p w14:paraId="2403FC48" w14:textId="46C53772"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在前期广泛充分调研基础上，收集、查阅、研究部分行业标准和个别地方标准，如国家标准《风力等级》（GB/T 28591-2012），《海上大风预警等级》（GB/</w:t>
      </w:r>
      <w:proofErr w:type="spellStart"/>
      <w:r>
        <w:rPr>
          <w:rFonts w:ascii="仿宋_GB2312" w:eastAsia="仿宋_GB2312" w:hint="eastAsia"/>
          <w:kern w:val="0"/>
          <w:sz w:val="32"/>
          <w:szCs w:val="32"/>
        </w:rPr>
        <w:t>T27958</w:t>
      </w:r>
      <w:proofErr w:type="spellEnd"/>
      <w:r>
        <w:rPr>
          <w:rFonts w:ascii="仿宋_GB2312" w:eastAsia="仿宋_GB2312" w:hint="eastAsia"/>
          <w:kern w:val="0"/>
          <w:sz w:val="32"/>
          <w:szCs w:val="32"/>
        </w:rPr>
        <w:t>—2011），气象行业标准《船舶引航气象条件等级》（</w:t>
      </w:r>
      <w:proofErr w:type="spellStart"/>
      <w:r>
        <w:rPr>
          <w:rFonts w:ascii="仿宋_GB2312" w:eastAsia="仿宋_GB2312" w:hint="eastAsia"/>
          <w:kern w:val="0"/>
          <w:sz w:val="32"/>
          <w:szCs w:val="32"/>
        </w:rPr>
        <w:t>QX</w:t>
      </w:r>
      <w:proofErr w:type="spellEnd"/>
      <w:r>
        <w:rPr>
          <w:rFonts w:ascii="仿宋_GB2312" w:eastAsia="仿宋_GB2312" w:hint="eastAsia"/>
          <w:kern w:val="0"/>
          <w:sz w:val="32"/>
          <w:szCs w:val="32"/>
        </w:rPr>
        <w:t>/T 333—2016），地方标准《大风预警等级》（</w:t>
      </w:r>
      <w:proofErr w:type="spellStart"/>
      <w:r>
        <w:rPr>
          <w:rFonts w:ascii="仿宋_GB2312" w:eastAsia="仿宋_GB2312" w:hint="eastAsia"/>
          <w:kern w:val="0"/>
          <w:sz w:val="32"/>
          <w:szCs w:val="32"/>
        </w:rPr>
        <w:t>DB65</w:t>
      </w:r>
      <w:proofErr w:type="spellEnd"/>
      <w:r>
        <w:rPr>
          <w:rFonts w:ascii="仿宋_GB2312" w:eastAsia="仿宋_GB2312" w:hint="eastAsia"/>
          <w:kern w:val="0"/>
          <w:sz w:val="32"/>
          <w:szCs w:val="32"/>
        </w:rPr>
        <w:t>/T 4043-2017），《水上交通气象灾害风险预警等级划分预评标准》（</w:t>
      </w:r>
      <w:proofErr w:type="spellStart"/>
      <w:r>
        <w:rPr>
          <w:rFonts w:ascii="仿宋_GB2312" w:eastAsia="仿宋_GB2312" w:hint="eastAsia"/>
          <w:kern w:val="0"/>
          <w:sz w:val="32"/>
          <w:szCs w:val="32"/>
        </w:rPr>
        <w:t>DB43</w:t>
      </w:r>
      <w:proofErr w:type="spellEnd"/>
      <w:r>
        <w:rPr>
          <w:rFonts w:ascii="仿宋_GB2312" w:eastAsia="仿宋_GB2312" w:hint="eastAsia"/>
          <w:kern w:val="0"/>
          <w:sz w:val="32"/>
          <w:szCs w:val="32"/>
        </w:rPr>
        <w:t>/T 2055—2021），经过多次讨论、修改，编制出《水上航运大风</w:t>
      </w:r>
      <w:r w:rsidR="004E4240">
        <w:rPr>
          <w:rFonts w:ascii="仿宋_GB2312" w:eastAsia="仿宋_GB2312" w:hint="eastAsia"/>
          <w:kern w:val="0"/>
          <w:sz w:val="32"/>
          <w:szCs w:val="32"/>
        </w:rPr>
        <w:t>气象</w:t>
      </w:r>
      <w:r>
        <w:rPr>
          <w:rFonts w:ascii="仿宋_GB2312" w:eastAsia="仿宋_GB2312" w:hint="eastAsia"/>
          <w:kern w:val="0"/>
          <w:sz w:val="32"/>
          <w:szCs w:val="32"/>
        </w:rPr>
        <w:t>风险</w:t>
      </w:r>
      <w:r w:rsidR="004E4240">
        <w:rPr>
          <w:rFonts w:ascii="仿宋_GB2312" w:eastAsia="仿宋_GB2312" w:hint="eastAsia"/>
          <w:kern w:val="0"/>
          <w:sz w:val="32"/>
          <w:szCs w:val="32"/>
        </w:rPr>
        <w:t>分</w:t>
      </w:r>
      <w:r>
        <w:rPr>
          <w:rFonts w:ascii="仿宋_GB2312" w:eastAsia="仿宋_GB2312" w:hint="eastAsia"/>
          <w:kern w:val="0"/>
          <w:sz w:val="32"/>
          <w:szCs w:val="32"/>
        </w:rPr>
        <w:t>级规范》征求意见稿。</w:t>
      </w:r>
    </w:p>
    <w:p w14:paraId="0579D89B"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t>四、主要内容的确定</w:t>
      </w:r>
    </w:p>
    <w:p w14:paraId="1E6E11C3" w14:textId="77777777" w:rsidR="006E40F8" w:rsidRDefault="00320394">
      <w:pPr>
        <w:adjustRightInd w:val="0"/>
        <w:snapToGrid w:val="0"/>
        <w:ind w:firstLineChars="196" w:firstLine="627"/>
        <w:jc w:val="left"/>
        <w:rPr>
          <w:rFonts w:ascii="楷体" w:eastAsia="楷体" w:hAnsi="楷体"/>
          <w:kern w:val="0"/>
          <w:sz w:val="32"/>
          <w:szCs w:val="32"/>
        </w:rPr>
      </w:pPr>
      <w:bookmarkStart w:id="1" w:name="_Toc120149462"/>
      <w:r>
        <w:rPr>
          <w:rFonts w:ascii="楷体" w:eastAsia="楷体" w:hAnsi="楷体" w:hint="eastAsia"/>
          <w:kern w:val="0"/>
          <w:sz w:val="32"/>
          <w:szCs w:val="32"/>
        </w:rPr>
        <w:t>（一）</w:t>
      </w:r>
      <w:r>
        <w:rPr>
          <w:rFonts w:ascii="楷体" w:eastAsia="楷体" w:hAnsi="楷体"/>
          <w:kern w:val="0"/>
          <w:sz w:val="32"/>
          <w:szCs w:val="32"/>
        </w:rPr>
        <w:t>范围</w:t>
      </w:r>
      <w:bookmarkEnd w:id="1"/>
    </w:p>
    <w:p w14:paraId="44682286" w14:textId="7C026187" w:rsidR="006E40F8" w:rsidRDefault="004E4240">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本文件规定了水上航运大风气象灾害风险分</w:t>
      </w:r>
      <w:r w:rsidR="00320394">
        <w:rPr>
          <w:rFonts w:ascii="仿宋_GB2312" w:eastAsia="仿宋_GB2312" w:hint="eastAsia"/>
          <w:kern w:val="0"/>
          <w:sz w:val="32"/>
          <w:szCs w:val="32"/>
        </w:rPr>
        <w:t>级的指标判定阈值。</w:t>
      </w:r>
    </w:p>
    <w:p w14:paraId="32411401" w14:textId="08A7FE81" w:rsidR="006E40F8" w:rsidRDefault="004E4240">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本文件适用于</w:t>
      </w:r>
      <w:r w:rsidR="00320394">
        <w:rPr>
          <w:rFonts w:ascii="仿宋_GB2312" w:eastAsia="仿宋_GB2312" w:hint="eastAsia"/>
          <w:kern w:val="0"/>
          <w:sz w:val="32"/>
          <w:szCs w:val="32"/>
        </w:rPr>
        <w:t>水上大风气象灾害风险评估与预警。</w:t>
      </w:r>
    </w:p>
    <w:p w14:paraId="11008847" w14:textId="77777777" w:rsidR="006E40F8" w:rsidRDefault="00320394">
      <w:pPr>
        <w:adjustRightInd w:val="0"/>
        <w:snapToGrid w:val="0"/>
        <w:ind w:firstLineChars="196" w:firstLine="627"/>
        <w:jc w:val="left"/>
        <w:rPr>
          <w:rFonts w:ascii="楷体" w:eastAsia="楷体" w:hAnsi="楷体"/>
          <w:kern w:val="0"/>
          <w:sz w:val="32"/>
          <w:szCs w:val="32"/>
        </w:rPr>
      </w:pPr>
      <w:bookmarkStart w:id="2" w:name="_Toc120149463"/>
      <w:r>
        <w:rPr>
          <w:rFonts w:ascii="楷体" w:eastAsia="楷体" w:hAnsi="楷体" w:hint="eastAsia"/>
          <w:kern w:val="0"/>
          <w:sz w:val="32"/>
          <w:szCs w:val="32"/>
        </w:rPr>
        <w:t>（二）规范性引用文件</w:t>
      </w:r>
      <w:bookmarkEnd w:id="2"/>
    </w:p>
    <w:p w14:paraId="67FBFC11" w14:textId="77777777" w:rsidR="006E40F8" w:rsidRDefault="00320394">
      <w:pPr>
        <w:snapToGrid w:val="0"/>
        <w:ind w:firstLineChars="200" w:firstLine="640"/>
        <w:rPr>
          <w:rFonts w:ascii="仿宋_GB2312" w:eastAsia="仿宋_GB2312"/>
          <w:kern w:val="0"/>
          <w:sz w:val="32"/>
          <w:szCs w:val="32"/>
        </w:rPr>
      </w:pPr>
      <w:bookmarkStart w:id="3" w:name="_Toc120149464"/>
      <w:r>
        <w:rPr>
          <w:rFonts w:ascii="仿宋_GB2312" w:eastAsia="仿宋_GB2312" w:hint="eastAsia"/>
          <w:kern w:val="0"/>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C9089D2"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GB/T 21984-2008 短期天气预报</w:t>
      </w:r>
    </w:p>
    <w:p w14:paraId="56E58BFD"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GB/T 27962-2011 气象灾害预警信号图标</w:t>
      </w:r>
    </w:p>
    <w:p w14:paraId="1498A629"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GB/T 28591-2012 风力等级</w:t>
      </w:r>
    </w:p>
    <w:p w14:paraId="2726FF94"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GB/T 27958-2011 海上大风预警等级</w:t>
      </w:r>
    </w:p>
    <w:p w14:paraId="7262DC7A" w14:textId="77777777" w:rsidR="006E40F8" w:rsidRDefault="00320394">
      <w:pPr>
        <w:snapToGrid w:val="0"/>
        <w:ind w:firstLineChars="200" w:firstLine="640"/>
        <w:rPr>
          <w:rFonts w:ascii="仿宋_GB2312" w:eastAsia="仿宋_GB2312"/>
          <w:kern w:val="0"/>
          <w:sz w:val="32"/>
          <w:szCs w:val="32"/>
        </w:rPr>
      </w:pPr>
      <w:proofErr w:type="spellStart"/>
      <w:r>
        <w:rPr>
          <w:rFonts w:ascii="仿宋_GB2312" w:eastAsia="仿宋_GB2312" w:hint="eastAsia"/>
          <w:kern w:val="0"/>
          <w:sz w:val="32"/>
          <w:szCs w:val="32"/>
        </w:rPr>
        <w:t>QX</w:t>
      </w:r>
      <w:proofErr w:type="spellEnd"/>
      <w:r>
        <w:rPr>
          <w:rFonts w:ascii="仿宋_GB2312" w:eastAsia="仿宋_GB2312" w:hint="eastAsia"/>
          <w:kern w:val="0"/>
          <w:sz w:val="32"/>
          <w:szCs w:val="32"/>
        </w:rPr>
        <w:t>/T 333-2016  船舶引航气象条件等级</w:t>
      </w:r>
    </w:p>
    <w:p w14:paraId="5B7E33E5" w14:textId="77777777" w:rsidR="006E40F8" w:rsidRDefault="00320394">
      <w:pPr>
        <w:adjustRightInd w:val="0"/>
        <w:snapToGrid w:val="0"/>
        <w:ind w:firstLineChars="196" w:firstLine="627"/>
        <w:jc w:val="left"/>
        <w:rPr>
          <w:rFonts w:ascii="楷体" w:eastAsia="楷体" w:hAnsi="楷体"/>
          <w:kern w:val="0"/>
          <w:sz w:val="32"/>
          <w:szCs w:val="32"/>
        </w:rPr>
      </w:pPr>
      <w:r>
        <w:rPr>
          <w:rFonts w:ascii="楷体" w:eastAsia="楷体" w:hAnsi="楷体" w:hint="eastAsia"/>
          <w:kern w:val="0"/>
          <w:sz w:val="32"/>
          <w:szCs w:val="32"/>
        </w:rPr>
        <w:lastRenderedPageBreak/>
        <w:t>（三）术语和定义</w:t>
      </w:r>
      <w:bookmarkEnd w:id="3"/>
    </w:p>
    <w:p w14:paraId="70D30F63"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下列术语和定义适用于本文件。</w:t>
      </w:r>
    </w:p>
    <w:p w14:paraId="0030EC14"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水上大风：</w:t>
      </w:r>
      <w:bookmarkStart w:id="4" w:name="_Toc120149466"/>
      <w:r>
        <w:rPr>
          <w:rFonts w:ascii="仿宋_GB2312" w:eastAsia="仿宋_GB2312" w:hint="eastAsia"/>
          <w:kern w:val="0"/>
          <w:sz w:val="32"/>
          <w:szCs w:val="32"/>
        </w:rPr>
        <w:t>水面上出现的强风现象。</w:t>
      </w:r>
    </w:p>
    <w:bookmarkEnd w:id="4"/>
    <w:p w14:paraId="3C8F4594"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气象灾害：</w:t>
      </w:r>
      <w:bookmarkStart w:id="5" w:name="_Toc120149467"/>
      <w:r>
        <w:rPr>
          <w:rFonts w:ascii="仿宋_GB2312" w:eastAsia="仿宋_GB2312" w:hint="eastAsia"/>
          <w:kern w:val="0"/>
          <w:sz w:val="32"/>
          <w:szCs w:val="32"/>
        </w:rPr>
        <w:t>对人类的生命财产和国民经济建设及国防建设等造成的直接或间接损害的天气现象，如能见度低的大雾、台风引起的风暴等。</w:t>
      </w:r>
    </w:p>
    <w:bookmarkEnd w:id="5"/>
    <w:p w14:paraId="69F8E149"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风险预警：</w:t>
      </w:r>
      <w:bookmarkStart w:id="6" w:name="_Toc14067"/>
      <w:bookmarkStart w:id="7" w:name="_Toc29795"/>
      <w:bookmarkStart w:id="8" w:name="_Toc120149468"/>
      <w:bookmarkStart w:id="9" w:name="_Toc41465542"/>
      <w:bookmarkStart w:id="10" w:name="_Toc39753450"/>
      <w:r>
        <w:rPr>
          <w:rFonts w:ascii="仿宋_GB2312" w:eastAsia="仿宋_GB2312" w:hint="eastAsia"/>
          <w:kern w:val="0"/>
          <w:sz w:val="32"/>
          <w:szCs w:val="32"/>
        </w:rPr>
        <w:t>根据研究对象的实际情况及风险管理者的经验，合理划分风险预警区间，判断风险量处于正常状态、警戒状态还是危险状态。</w:t>
      </w:r>
    </w:p>
    <w:bookmarkEnd w:id="6"/>
    <w:bookmarkEnd w:id="7"/>
    <w:bookmarkEnd w:id="8"/>
    <w:bookmarkEnd w:id="9"/>
    <w:bookmarkEnd w:id="10"/>
    <w:p w14:paraId="4E1CA7C8"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阵风风速：</w:t>
      </w:r>
      <w:bookmarkStart w:id="11" w:name="_Toc120149469"/>
      <w:r>
        <w:rPr>
          <w:rFonts w:ascii="仿宋_GB2312" w:eastAsia="仿宋_GB2312" w:hint="eastAsia"/>
          <w:kern w:val="0"/>
          <w:sz w:val="32"/>
          <w:szCs w:val="32"/>
        </w:rPr>
        <w:t>在给定时间段内，出现的最大瞬时风速值，</w:t>
      </w:r>
      <w:proofErr w:type="gramStart"/>
      <w:r>
        <w:rPr>
          <w:rFonts w:ascii="仿宋_GB2312" w:eastAsia="仿宋_GB2312" w:hint="eastAsia"/>
          <w:kern w:val="0"/>
          <w:sz w:val="32"/>
          <w:szCs w:val="32"/>
        </w:rPr>
        <w:t>即数秒钟</w:t>
      </w:r>
      <w:proofErr w:type="gramEnd"/>
      <w:r>
        <w:rPr>
          <w:rFonts w:ascii="仿宋_GB2312" w:eastAsia="仿宋_GB2312" w:hint="eastAsia"/>
          <w:kern w:val="0"/>
          <w:sz w:val="32"/>
          <w:szCs w:val="32"/>
        </w:rPr>
        <w:t>平均风速的最大值，也称为极大风速。</w:t>
      </w:r>
    </w:p>
    <w:p w14:paraId="3A14079B"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注：单位为米每秒（m/s）。</w:t>
      </w:r>
    </w:p>
    <w:bookmarkEnd w:id="11"/>
    <w:p w14:paraId="61327439"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风力等级：</w:t>
      </w:r>
      <w:bookmarkStart w:id="12" w:name="_Toc120149470"/>
      <w:r>
        <w:rPr>
          <w:rFonts w:ascii="仿宋_GB2312" w:eastAsia="仿宋_GB2312" w:hint="eastAsia"/>
          <w:kern w:val="0"/>
          <w:sz w:val="32"/>
          <w:szCs w:val="32"/>
        </w:rPr>
        <w:t>根据风对地面（或海面）物体影响程度而定出的等级，用来表示风速的大小。</w:t>
      </w:r>
    </w:p>
    <w:p w14:paraId="7B463FDA" w14:textId="77777777"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注：常用的风力等级系英国人蒲福（Beaufort）于1805年拟定，故又称“蒲福风级”，</w:t>
      </w:r>
      <w:proofErr w:type="gramStart"/>
      <w:r>
        <w:rPr>
          <w:rFonts w:ascii="仿宋_GB2312" w:eastAsia="仿宋_GB2312" w:hint="eastAsia"/>
          <w:kern w:val="0"/>
          <w:sz w:val="32"/>
          <w:szCs w:val="32"/>
        </w:rPr>
        <w:t>自零到</w:t>
      </w:r>
      <w:proofErr w:type="gramEnd"/>
      <w:r>
        <w:rPr>
          <w:rFonts w:ascii="仿宋_GB2312" w:eastAsia="仿宋_GB2312" w:hint="eastAsia"/>
          <w:kern w:val="0"/>
          <w:sz w:val="32"/>
          <w:szCs w:val="32"/>
        </w:rPr>
        <w:t>十二分十三个等级。自1946年以来，风力等级又做了扩充，增加到十八个等级（0-17级）。</w:t>
      </w:r>
    </w:p>
    <w:p w14:paraId="141B7CF4" w14:textId="3A27F171" w:rsidR="006E40F8" w:rsidRDefault="00320394">
      <w:pPr>
        <w:adjustRightInd w:val="0"/>
        <w:snapToGrid w:val="0"/>
        <w:ind w:firstLineChars="196" w:firstLine="627"/>
        <w:jc w:val="left"/>
        <w:rPr>
          <w:rFonts w:ascii="楷体" w:eastAsia="楷体" w:hAnsi="楷体"/>
          <w:kern w:val="0"/>
          <w:sz w:val="32"/>
          <w:szCs w:val="32"/>
        </w:rPr>
      </w:pPr>
      <w:bookmarkStart w:id="13" w:name="_Toc120149471"/>
      <w:bookmarkEnd w:id="12"/>
      <w:r>
        <w:rPr>
          <w:rFonts w:ascii="楷体" w:eastAsia="楷体" w:hAnsi="楷体" w:hint="eastAsia"/>
          <w:kern w:val="0"/>
          <w:sz w:val="32"/>
          <w:szCs w:val="32"/>
        </w:rPr>
        <w:t>（四）</w:t>
      </w:r>
      <w:bookmarkEnd w:id="13"/>
      <w:r>
        <w:rPr>
          <w:rFonts w:ascii="楷体" w:eastAsia="楷体" w:hAnsi="楷体" w:hint="eastAsia"/>
          <w:kern w:val="0"/>
          <w:sz w:val="32"/>
          <w:szCs w:val="32"/>
        </w:rPr>
        <w:t>水上航运大风气象风险预警</w:t>
      </w:r>
      <w:r w:rsidR="0083416E">
        <w:rPr>
          <w:rFonts w:ascii="楷体" w:eastAsia="楷体" w:hAnsi="楷体" w:hint="eastAsia"/>
          <w:kern w:val="0"/>
          <w:sz w:val="32"/>
          <w:szCs w:val="32"/>
        </w:rPr>
        <w:t>分</w:t>
      </w:r>
      <w:r>
        <w:rPr>
          <w:rFonts w:ascii="楷体" w:eastAsia="楷体" w:hAnsi="楷体" w:hint="eastAsia"/>
          <w:kern w:val="0"/>
          <w:sz w:val="32"/>
          <w:szCs w:val="32"/>
        </w:rPr>
        <w:t>级规范</w:t>
      </w:r>
    </w:p>
    <w:p w14:paraId="1B35C22D" w14:textId="4DC08E32" w:rsidR="006E40F8" w:rsidRDefault="00320394">
      <w:pPr>
        <w:adjustRightInd w:val="0"/>
        <w:snapToGrid w:val="0"/>
        <w:ind w:firstLineChars="196" w:firstLine="627"/>
        <w:jc w:val="left"/>
        <w:rPr>
          <w:rFonts w:eastAsia="仿宋_GB2312"/>
          <w:kern w:val="0"/>
          <w:sz w:val="32"/>
          <w:szCs w:val="32"/>
        </w:rPr>
      </w:pPr>
      <w:bookmarkStart w:id="14" w:name="_Toc120149474"/>
      <w:r>
        <w:rPr>
          <w:rFonts w:eastAsia="仿宋_GB2312" w:hint="eastAsia"/>
          <w:kern w:val="0"/>
          <w:sz w:val="32"/>
          <w:szCs w:val="32"/>
        </w:rPr>
        <w:t>水上航运大风气象风险预警</w:t>
      </w:r>
      <w:proofErr w:type="gramStart"/>
      <w:r w:rsidR="0083416E">
        <w:rPr>
          <w:rFonts w:eastAsia="仿宋_GB2312" w:hint="eastAsia"/>
          <w:kern w:val="0"/>
          <w:sz w:val="32"/>
          <w:szCs w:val="32"/>
        </w:rPr>
        <w:t>分</w:t>
      </w:r>
      <w:r>
        <w:rPr>
          <w:rFonts w:eastAsia="仿宋_GB2312" w:hint="eastAsia"/>
          <w:kern w:val="0"/>
          <w:sz w:val="32"/>
          <w:szCs w:val="32"/>
        </w:rPr>
        <w:t>级从</w:t>
      </w:r>
      <w:proofErr w:type="gramEnd"/>
      <w:r>
        <w:rPr>
          <w:rFonts w:eastAsia="仿宋_GB2312" w:hint="eastAsia"/>
          <w:kern w:val="0"/>
          <w:sz w:val="32"/>
          <w:szCs w:val="32"/>
        </w:rPr>
        <w:t>低级到高级依次是，无风险（绿色）、低风险（蓝色）、中风险（黄色）、高风险（橙色）、极高风险（红色）五个等级，见表</w:t>
      </w:r>
      <w:r>
        <w:rPr>
          <w:rFonts w:eastAsia="仿宋_GB2312" w:hint="eastAsia"/>
          <w:kern w:val="0"/>
          <w:sz w:val="32"/>
          <w:szCs w:val="32"/>
        </w:rPr>
        <w:t>1</w:t>
      </w:r>
      <w:r>
        <w:rPr>
          <w:rFonts w:eastAsia="仿宋_GB2312" w:hint="eastAsia"/>
          <w:kern w:val="0"/>
          <w:sz w:val="32"/>
          <w:szCs w:val="32"/>
        </w:rPr>
        <w:t>。</w:t>
      </w:r>
    </w:p>
    <w:p w14:paraId="401A3D23" w14:textId="0E24B745" w:rsidR="006E40F8" w:rsidRDefault="00320394">
      <w:pPr>
        <w:spacing w:line="360" w:lineRule="auto"/>
        <w:jc w:val="center"/>
        <w:rPr>
          <w:rFonts w:ascii="黑体" w:eastAsia="黑体" w:hAnsi="黑体"/>
        </w:rPr>
      </w:pPr>
      <w:r>
        <w:rPr>
          <w:rFonts w:ascii="黑体" w:eastAsia="黑体" w:hAnsi="黑体" w:hint="eastAsia"/>
        </w:rPr>
        <w:t>表1  水上航运大风气象灾害风险预警</w:t>
      </w:r>
      <w:r w:rsidR="0083416E">
        <w:rPr>
          <w:rFonts w:ascii="黑体" w:eastAsia="黑体" w:hAnsi="黑体" w:hint="eastAsia"/>
        </w:rPr>
        <w:t>分</w:t>
      </w:r>
      <w:r>
        <w:rPr>
          <w:rFonts w:ascii="黑体" w:eastAsia="黑体" w:hAnsi="黑体" w:hint="eastAsia"/>
        </w:rPr>
        <w:t>级</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843"/>
        <w:gridCol w:w="3343"/>
        <w:gridCol w:w="1854"/>
      </w:tblGrid>
      <w:tr w:rsidR="006E40F8" w14:paraId="364A60A5" w14:textId="77777777">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14:paraId="0BA7EF28" w14:textId="77777777" w:rsidR="006E40F8" w:rsidRDefault="00320394">
            <w:pPr>
              <w:spacing w:line="360" w:lineRule="auto"/>
              <w:jc w:val="center"/>
              <w:rPr>
                <w:rFonts w:ascii="黑体" w:eastAsia="黑体" w:hAnsi="黑体"/>
                <w:szCs w:val="22"/>
              </w:rPr>
            </w:pPr>
            <w:r>
              <w:rPr>
                <w:rFonts w:ascii="黑体" w:eastAsia="黑体" w:hAnsi="黑体" w:hint="eastAsia"/>
                <w:sz w:val="20"/>
              </w:rPr>
              <w:t>划分等级</w:t>
            </w:r>
          </w:p>
        </w:tc>
        <w:tc>
          <w:tcPr>
            <w:tcW w:w="1843" w:type="dxa"/>
            <w:tcBorders>
              <w:top w:val="single" w:sz="4" w:space="0" w:color="auto"/>
              <w:left w:val="single" w:sz="4" w:space="0" w:color="auto"/>
              <w:bottom w:val="single" w:sz="4" w:space="0" w:color="auto"/>
              <w:right w:val="single" w:sz="4" w:space="0" w:color="auto"/>
            </w:tcBorders>
          </w:tcPr>
          <w:p w14:paraId="31491EE9" w14:textId="77777777" w:rsidR="006E40F8" w:rsidRDefault="00320394">
            <w:pPr>
              <w:spacing w:line="360" w:lineRule="auto"/>
              <w:jc w:val="center"/>
              <w:rPr>
                <w:rFonts w:ascii="黑体" w:eastAsia="黑体" w:hAnsi="黑体"/>
                <w:sz w:val="20"/>
              </w:rPr>
            </w:pPr>
            <w:r>
              <w:rPr>
                <w:rFonts w:ascii="黑体" w:eastAsia="黑体" w:hAnsi="黑体" w:hint="eastAsia"/>
                <w:sz w:val="20"/>
              </w:rPr>
              <w:t>风险等级</w:t>
            </w:r>
          </w:p>
        </w:tc>
        <w:tc>
          <w:tcPr>
            <w:tcW w:w="3343" w:type="dxa"/>
            <w:tcBorders>
              <w:top w:val="single" w:sz="4" w:space="0" w:color="auto"/>
              <w:left w:val="single" w:sz="4" w:space="0" w:color="auto"/>
              <w:bottom w:val="single" w:sz="4" w:space="0" w:color="auto"/>
              <w:right w:val="single" w:sz="4" w:space="0" w:color="auto"/>
            </w:tcBorders>
            <w:vAlign w:val="center"/>
          </w:tcPr>
          <w:p w14:paraId="3BF394D5" w14:textId="77777777" w:rsidR="006E40F8" w:rsidRDefault="00320394">
            <w:pPr>
              <w:spacing w:line="360" w:lineRule="auto"/>
              <w:jc w:val="center"/>
              <w:rPr>
                <w:rFonts w:ascii="黑体" w:eastAsia="黑体" w:hAnsi="黑体"/>
                <w:szCs w:val="22"/>
              </w:rPr>
            </w:pPr>
            <w:r>
              <w:rPr>
                <w:rFonts w:ascii="黑体" w:eastAsia="黑体" w:hAnsi="黑体" w:hint="eastAsia"/>
                <w:sz w:val="20"/>
              </w:rPr>
              <w:t>影响程度</w:t>
            </w:r>
          </w:p>
        </w:tc>
        <w:tc>
          <w:tcPr>
            <w:tcW w:w="1854" w:type="dxa"/>
            <w:tcBorders>
              <w:top w:val="single" w:sz="4" w:space="0" w:color="auto"/>
              <w:left w:val="single" w:sz="4" w:space="0" w:color="auto"/>
              <w:bottom w:val="single" w:sz="4" w:space="0" w:color="auto"/>
              <w:right w:val="single" w:sz="4" w:space="0" w:color="auto"/>
            </w:tcBorders>
            <w:vAlign w:val="center"/>
          </w:tcPr>
          <w:p w14:paraId="1FF4359A" w14:textId="77777777" w:rsidR="006E40F8" w:rsidRDefault="00320394">
            <w:pPr>
              <w:spacing w:line="360" w:lineRule="auto"/>
              <w:jc w:val="center"/>
              <w:rPr>
                <w:rFonts w:ascii="黑体" w:eastAsia="黑体" w:hAnsi="黑体"/>
                <w:szCs w:val="22"/>
              </w:rPr>
            </w:pPr>
            <w:r>
              <w:rPr>
                <w:rFonts w:ascii="黑体" w:eastAsia="黑体" w:hAnsi="黑体" w:hint="eastAsia"/>
                <w:sz w:val="20"/>
              </w:rPr>
              <w:t>颜色表征</w:t>
            </w:r>
          </w:p>
        </w:tc>
      </w:tr>
      <w:tr w:rsidR="006E40F8" w14:paraId="1B66FDBE" w14:textId="77777777">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14:paraId="327504C0" w14:textId="77777777" w:rsidR="006E40F8" w:rsidRDefault="00320394">
            <w:pPr>
              <w:spacing w:line="360" w:lineRule="auto"/>
              <w:jc w:val="center"/>
              <w:rPr>
                <w:rFonts w:ascii="宋体" w:hAnsi="宋体"/>
                <w:szCs w:val="22"/>
              </w:rPr>
            </w:pPr>
            <w:r>
              <w:rPr>
                <w:rFonts w:ascii="宋体" w:hAnsi="宋体" w:hint="eastAsia"/>
                <w:sz w:val="20"/>
              </w:rPr>
              <w:t>Ⅴ级</w:t>
            </w:r>
          </w:p>
        </w:tc>
        <w:tc>
          <w:tcPr>
            <w:tcW w:w="1843" w:type="dxa"/>
            <w:tcBorders>
              <w:top w:val="single" w:sz="4" w:space="0" w:color="auto"/>
              <w:left w:val="single" w:sz="4" w:space="0" w:color="auto"/>
              <w:bottom w:val="single" w:sz="4" w:space="0" w:color="auto"/>
              <w:right w:val="single" w:sz="4" w:space="0" w:color="auto"/>
            </w:tcBorders>
          </w:tcPr>
          <w:p w14:paraId="3B8DAC3A" w14:textId="77777777" w:rsidR="006E40F8" w:rsidRDefault="00320394">
            <w:pPr>
              <w:spacing w:line="360" w:lineRule="auto"/>
              <w:jc w:val="center"/>
              <w:rPr>
                <w:rFonts w:ascii="黑体" w:eastAsia="黑体" w:hAnsi="黑体"/>
                <w:sz w:val="20"/>
              </w:rPr>
            </w:pPr>
            <w:r>
              <w:rPr>
                <w:rFonts w:ascii="黑体" w:eastAsia="黑体" w:hAnsi="黑体" w:hint="eastAsia"/>
                <w:sz w:val="20"/>
              </w:rPr>
              <w:t>无风险</w:t>
            </w:r>
          </w:p>
        </w:tc>
        <w:tc>
          <w:tcPr>
            <w:tcW w:w="3343" w:type="dxa"/>
            <w:tcBorders>
              <w:top w:val="single" w:sz="4" w:space="0" w:color="auto"/>
              <w:left w:val="single" w:sz="4" w:space="0" w:color="auto"/>
              <w:bottom w:val="single" w:sz="4" w:space="0" w:color="auto"/>
              <w:right w:val="single" w:sz="4" w:space="0" w:color="auto"/>
            </w:tcBorders>
            <w:vAlign w:val="center"/>
          </w:tcPr>
          <w:p w14:paraId="1A507787" w14:textId="77777777" w:rsidR="006E40F8" w:rsidRDefault="00320394">
            <w:pPr>
              <w:spacing w:line="360" w:lineRule="auto"/>
              <w:jc w:val="center"/>
              <w:rPr>
                <w:rFonts w:ascii="黑体" w:eastAsia="黑体" w:hAnsi="黑体"/>
                <w:szCs w:val="22"/>
              </w:rPr>
            </w:pPr>
            <w:r>
              <w:rPr>
                <w:rFonts w:ascii="黑体" w:eastAsia="黑体" w:hAnsi="黑体" w:hint="eastAsia"/>
                <w:sz w:val="20"/>
              </w:rPr>
              <w:t>基本无影响</w:t>
            </w:r>
          </w:p>
        </w:tc>
        <w:tc>
          <w:tcPr>
            <w:tcW w:w="1854" w:type="dxa"/>
            <w:tcBorders>
              <w:top w:val="single" w:sz="4" w:space="0" w:color="auto"/>
              <w:left w:val="single" w:sz="4" w:space="0" w:color="auto"/>
              <w:bottom w:val="single" w:sz="4" w:space="0" w:color="auto"/>
              <w:right w:val="single" w:sz="4" w:space="0" w:color="auto"/>
            </w:tcBorders>
            <w:vAlign w:val="center"/>
          </w:tcPr>
          <w:p w14:paraId="5FA6D79C" w14:textId="77777777" w:rsidR="006E40F8" w:rsidRDefault="00320394">
            <w:pPr>
              <w:spacing w:line="360" w:lineRule="auto"/>
              <w:jc w:val="center"/>
              <w:rPr>
                <w:rFonts w:ascii="黑体" w:eastAsia="黑体" w:hAnsi="黑体"/>
                <w:szCs w:val="22"/>
              </w:rPr>
            </w:pPr>
            <w:r>
              <w:rPr>
                <w:rFonts w:ascii="黑体" w:eastAsia="黑体" w:hAnsi="黑体" w:hint="eastAsia"/>
                <w:sz w:val="20"/>
              </w:rPr>
              <w:t>绿色</w:t>
            </w:r>
          </w:p>
        </w:tc>
      </w:tr>
      <w:tr w:rsidR="006E40F8" w14:paraId="39F1A323" w14:textId="77777777">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14:paraId="1346DE7C" w14:textId="77777777" w:rsidR="006E40F8" w:rsidRDefault="00320394">
            <w:pPr>
              <w:spacing w:line="360" w:lineRule="auto"/>
              <w:jc w:val="center"/>
              <w:rPr>
                <w:rFonts w:ascii="宋体" w:hAnsi="宋体"/>
                <w:sz w:val="20"/>
              </w:rPr>
            </w:pPr>
            <w:r>
              <w:rPr>
                <w:rFonts w:ascii="宋体" w:hAnsi="宋体" w:hint="eastAsia"/>
                <w:sz w:val="20"/>
              </w:rPr>
              <w:t>Ⅳ级</w:t>
            </w:r>
          </w:p>
        </w:tc>
        <w:tc>
          <w:tcPr>
            <w:tcW w:w="1843" w:type="dxa"/>
            <w:tcBorders>
              <w:top w:val="single" w:sz="4" w:space="0" w:color="auto"/>
              <w:left w:val="single" w:sz="4" w:space="0" w:color="auto"/>
              <w:bottom w:val="single" w:sz="4" w:space="0" w:color="auto"/>
              <w:right w:val="single" w:sz="4" w:space="0" w:color="auto"/>
            </w:tcBorders>
          </w:tcPr>
          <w:p w14:paraId="16A0F3E1" w14:textId="77777777" w:rsidR="006E40F8" w:rsidRDefault="00320394">
            <w:pPr>
              <w:spacing w:line="360" w:lineRule="auto"/>
              <w:jc w:val="center"/>
              <w:rPr>
                <w:rFonts w:ascii="黑体" w:eastAsia="黑体" w:hAnsi="黑体"/>
                <w:sz w:val="20"/>
              </w:rPr>
            </w:pPr>
            <w:r>
              <w:rPr>
                <w:rFonts w:ascii="黑体" w:eastAsia="黑体" w:hAnsi="黑体" w:hint="eastAsia"/>
                <w:sz w:val="20"/>
              </w:rPr>
              <w:t>低风险</w:t>
            </w:r>
          </w:p>
        </w:tc>
        <w:tc>
          <w:tcPr>
            <w:tcW w:w="3343" w:type="dxa"/>
            <w:tcBorders>
              <w:top w:val="single" w:sz="4" w:space="0" w:color="auto"/>
              <w:left w:val="single" w:sz="4" w:space="0" w:color="auto"/>
              <w:bottom w:val="single" w:sz="4" w:space="0" w:color="auto"/>
              <w:right w:val="single" w:sz="4" w:space="0" w:color="auto"/>
            </w:tcBorders>
            <w:vAlign w:val="center"/>
          </w:tcPr>
          <w:p w14:paraId="61786DAC" w14:textId="77777777" w:rsidR="006E40F8" w:rsidRDefault="00320394">
            <w:pPr>
              <w:spacing w:line="360" w:lineRule="auto"/>
              <w:jc w:val="center"/>
              <w:rPr>
                <w:rFonts w:ascii="黑体" w:eastAsia="黑体" w:hAnsi="黑体"/>
                <w:szCs w:val="22"/>
              </w:rPr>
            </w:pPr>
            <w:r>
              <w:rPr>
                <w:rFonts w:ascii="黑体" w:eastAsia="黑体" w:hAnsi="黑体" w:hint="eastAsia"/>
                <w:sz w:val="20"/>
              </w:rPr>
              <w:t>有一定影响</w:t>
            </w:r>
          </w:p>
        </w:tc>
        <w:tc>
          <w:tcPr>
            <w:tcW w:w="1854" w:type="dxa"/>
            <w:tcBorders>
              <w:top w:val="single" w:sz="4" w:space="0" w:color="auto"/>
              <w:left w:val="single" w:sz="4" w:space="0" w:color="auto"/>
              <w:bottom w:val="single" w:sz="4" w:space="0" w:color="auto"/>
              <w:right w:val="single" w:sz="4" w:space="0" w:color="auto"/>
            </w:tcBorders>
            <w:vAlign w:val="center"/>
          </w:tcPr>
          <w:p w14:paraId="0BDFBADC" w14:textId="77777777" w:rsidR="006E40F8" w:rsidRDefault="00320394">
            <w:pPr>
              <w:spacing w:line="360" w:lineRule="auto"/>
              <w:jc w:val="center"/>
              <w:rPr>
                <w:rFonts w:ascii="黑体" w:eastAsia="黑体" w:hAnsi="黑体"/>
                <w:sz w:val="20"/>
                <w:szCs w:val="22"/>
              </w:rPr>
            </w:pPr>
            <w:r>
              <w:rPr>
                <w:rFonts w:ascii="黑体" w:eastAsia="黑体" w:hAnsi="黑体" w:hint="eastAsia"/>
                <w:sz w:val="20"/>
              </w:rPr>
              <w:t>蓝色</w:t>
            </w:r>
          </w:p>
        </w:tc>
      </w:tr>
      <w:tr w:rsidR="006E40F8" w14:paraId="4EE62E5E" w14:textId="77777777">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14:paraId="5171B9B4" w14:textId="77777777" w:rsidR="006E40F8" w:rsidRDefault="00320394">
            <w:pPr>
              <w:spacing w:line="360" w:lineRule="auto"/>
              <w:jc w:val="center"/>
              <w:rPr>
                <w:rFonts w:ascii="宋体" w:hAnsi="宋体"/>
                <w:sz w:val="20"/>
              </w:rPr>
            </w:pPr>
            <w:r>
              <w:rPr>
                <w:rFonts w:ascii="宋体" w:hAnsi="宋体" w:hint="eastAsia"/>
                <w:sz w:val="20"/>
              </w:rPr>
              <w:t>Ⅲ级</w:t>
            </w:r>
          </w:p>
        </w:tc>
        <w:tc>
          <w:tcPr>
            <w:tcW w:w="1843" w:type="dxa"/>
            <w:tcBorders>
              <w:top w:val="single" w:sz="4" w:space="0" w:color="auto"/>
              <w:left w:val="single" w:sz="4" w:space="0" w:color="auto"/>
              <w:bottom w:val="single" w:sz="4" w:space="0" w:color="auto"/>
              <w:right w:val="single" w:sz="4" w:space="0" w:color="auto"/>
            </w:tcBorders>
          </w:tcPr>
          <w:p w14:paraId="5733D02D" w14:textId="77777777" w:rsidR="006E40F8" w:rsidRDefault="00320394">
            <w:pPr>
              <w:spacing w:line="360" w:lineRule="auto"/>
              <w:jc w:val="center"/>
              <w:rPr>
                <w:rFonts w:ascii="黑体" w:eastAsia="黑体" w:hAnsi="黑体"/>
                <w:sz w:val="20"/>
              </w:rPr>
            </w:pPr>
            <w:r>
              <w:rPr>
                <w:rFonts w:ascii="黑体" w:eastAsia="黑体" w:hAnsi="黑体" w:hint="eastAsia"/>
                <w:sz w:val="20"/>
              </w:rPr>
              <w:t>中风险</w:t>
            </w:r>
          </w:p>
        </w:tc>
        <w:tc>
          <w:tcPr>
            <w:tcW w:w="3343" w:type="dxa"/>
            <w:tcBorders>
              <w:top w:val="single" w:sz="4" w:space="0" w:color="auto"/>
              <w:left w:val="single" w:sz="4" w:space="0" w:color="auto"/>
              <w:bottom w:val="single" w:sz="4" w:space="0" w:color="auto"/>
              <w:right w:val="single" w:sz="4" w:space="0" w:color="auto"/>
            </w:tcBorders>
            <w:vAlign w:val="center"/>
          </w:tcPr>
          <w:p w14:paraId="5CA15ACD" w14:textId="77777777" w:rsidR="006E40F8" w:rsidRDefault="00320394">
            <w:pPr>
              <w:spacing w:line="360" w:lineRule="auto"/>
              <w:jc w:val="center"/>
              <w:rPr>
                <w:rFonts w:ascii="黑体" w:eastAsia="黑体" w:hAnsi="黑体"/>
                <w:szCs w:val="22"/>
              </w:rPr>
            </w:pPr>
            <w:r>
              <w:rPr>
                <w:rFonts w:ascii="黑体" w:eastAsia="黑体" w:hAnsi="黑体" w:hint="eastAsia"/>
                <w:sz w:val="20"/>
              </w:rPr>
              <w:t>有较大影响</w:t>
            </w:r>
          </w:p>
        </w:tc>
        <w:tc>
          <w:tcPr>
            <w:tcW w:w="1854" w:type="dxa"/>
            <w:tcBorders>
              <w:top w:val="single" w:sz="4" w:space="0" w:color="auto"/>
              <w:left w:val="single" w:sz="4" w:space="0" w:color="auto"/>
              <w:bottom w:val="single" w:sz="4" w:space="0" w:color="auto"/>
              <w:right w:val="single" w:sz="4" w:space="0" w:color="auto"/>
            </w:tcBorders>
            <w:vAlign w:val="center"/>
          </w:tcPr>
          <w:p w14:paraId="56A8F5F3" w14:textId="77777777" w:rsidR="006E40F8" w:rsidRDefault="00320394">
            <w:pPr>
              <w:spacing w:line="360" w:lineRule="auto"/>
              <w:jc w:val="center"/>
              <w:rPr>
                <w:rFonts w:ascii="黑体" w:eastAsia="黑体" w:hAnsi="黑体"/>
                <w:szCs w:val="22"/>
              </w:rPr>
            </w:pPr>
            <w:r>
              <w:rPr>
                <w:rFonts w:ascii="黑体" w:eastAsia="黑体" w:hAnsi="黑体" w:hint="eastAsia"/>
                <w:sz w:val="20"/>
              </w:rPr>
              <w:t>黄色</w:t>
            </w:r>
          </w:p>
        </w:tc>
      </w:tr>
      <w:tr w:rsidR="006E40F8" w14:paraId="46AC5170" w14:textId="77777777">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14:paraId="6639472B" w14:textId="77777777" w:rsidR="006E40F8" w:rsidRDefault="00320394">
            <w:pPr>
              <w:spacing w:line="360" w:lineRule="auto"/>
              <w:jc w:val="center"/>
              <w:rPr>
                <w:rFonts w:ascii="宋体" w:hAnsi="宋体"/>
                <w:sz w:val="20"/>
              </w:rPr>
            </w:pPr>
            <w:r>
              <w:rPr>
                <w:rFonts w:ascii="宋体" w:hAnsi="宋体" w:hint="eastAsia"/>
                <w:sz w:val="20"/>
              </w:rPr>
              <w:t>Ⅱ级</w:t>
            </w:r>
          </w:p>
        </w:tc>
        <w:tc>
          <w:tcPr>
            <w:tcW w:w="1843" w:type="dxa"/>
            <w:tcBorders>
              <w:top w:val="single" w:sz="4" w:space="0" w:color="auto"/>
              <w:left w:val="single" w:sz="4" w:space="0" w:color="auto"/>
              <w:bottom w:val="single" w:sz="4" w:space="0" w:color="auto"/>
              <w:right w:val="single" w:sz="4" w:space="0" w:color="auto"/>
            </w:tcBorders>
          </w:tcPr>
          <w:p w14:paraId="1C618F89" w14:textId="77777777" w:rsidR="006E40F8" w:rsidRDefault="00320394">
            <w:pPr>
              <w:spacing w:line="360" w:lineRule="auto"/>
              <w:jc w:val="center"/>
              <w:rPr>
                <w:rFonts w:ascii="黑体" w:eastAsia="黑体" w:hAnsi="黑体"/>
                <w:sz w:val="20"/>
              </w:rPr>
            </w:pPr>
            <w:r>
              <w:rPr>
                <w:rFonts w:ascii="黑体" w:eastAsia="黑体" w:hAnsi="黑体" w:hint="eastAsia"/>
                <w:sz w:val="20"/>
              </w:rPr>
              <w:t>高风险</w:t>
            </w:r>
          </w:p>
        </w:tc>
        <w:tc>
          <w:tcPr>
            <w:tcW w:w="3343" w:type="dxa"/>
            <w:tcBorders>
              <w:top w:val="single" w:sz="4" w:space="0" w:color="auto"/>
              <w:left w:val="single" w:sz="4" w:space="0" w:color="auto"/>
              <w:bottom w:val="single" w:sz="4" w:space="0" w:color="auto"/>
              <w:right w:val="single" w:sz="4" w:space="0" w:color="auto"/>
            </w:tcBorders>
            <w:vAlign w:val="center"/>
          </w:tcPr>
          <w:p w14:paraId="42A65B72" w14:textId="77777777" w:rsidR="006E40F8" w:rsidRDefault="00320394">
            <w:pPr>
              <w:spacing w:line="360" w:lineRule="auto"/>
              <w:jc w:val="center"/>
              <w:rPr>
                <w:rFonts w:ascii="黑体" w:eastAsia="黑体" w:hAnsi="黑体"/>
                <w:szCs w:val="22"/>
              </w:rPr>
            </w:pPr>
            <w:r>
              <w:rPr>
                <w:rFonts w:ascii="黑体" w:eastAsia="黑体" w:hAnsi="黑体" w:hint="eastAsia"/>
                <w:sz w:val="20"/>
              </w:rPr>
              <w:t>有严重影响</w:t>
            </w:r>
          </w:p>
        </w:tc>
        <w:tc>
          <w:tcPr>
            <w:tcW w:w="1854" w:type="dxa"/>
            <w:tcBorders>
              <w:top w:val="single" w:sz="4" w:space="0" w:color="auto"/>
              <w:left w:val="single" w:sz="4" w:space="0" w:color="auto"/>
              <w:bottom w:val="single" w:sz="4" w:space="0" w:color="auto"/>
              <w:right w:val="single" w:sz="4" w:space="0" w:color="auto"/>
            </w:tcBorders>
            <w:vAlign w:val="center"/>
          </w:tcPr>
          <w:p w14:paraId="22C68D63" w14:textId="77777777" w:rsidR="006E40F8" w:rsidRDefault="00320394">
            <w:pPr>
              <w:spacing w:line="360" w:lineRule="auto"/>
              <w:jc w:val="center"/>
              <w:rPr>
                <w:rFonts w:ascii="黑体" w:eastAsia="黑体" w:hAnsi="黑体"/>
                <w:szCs w:val="22"/>
              </w:rPr>
            </w:pPr>
            <w:r>
              <w:rPr>
                <w:rFonts w:ascii="黑体" w:eastAsia="黑体" w:hAnsi="黑体" w:hint="eastAsia"/>
                <w:sz w:val="20"/>
              </w:rPr>
              <w:t>橙色</w:t>
            </w:r>
          </w:p>
        </w:tc>
      </w:tr>
      <w:tr w:rsidR="006E40F8" w14:paraId="3588EB01" w14:textId="77777777">
        <w:trPr>
          <w:trHeight w:hRule="exact" w:val="363"/>
          <w:jc w:val="center"/>
        </w:trPr>
        <w:tc>
          <w:tcPr>
            <w:tcW w:w="1658" w:type="dxa"/>
            <w:tcBorders>
              <w:top w:val="single" w:sz="4" w:space="0" w:color="auto"/>
              <w:left w:val="single" w:sz="4" w:space="0" w:color="auto"/>
              <w:bottom w:val="single" w:sz="4" w:space="0" w:color="auto"/>
              <w:right w:val="single" w:sz="4" w:space="0" w:color="auto"/>
            </w:tcBorders>
            <w:vAlign w:val="center"/>
          </w:tcPr>
          <w:p w14:paraId="4CD07F0D" w14:textId="77777777" w:rsidR="006E40F8" w:rsidRDefault="00320394">
            <w:pPr>
              <w:spacing w:line="360" w:lineRule="auto"/>
              <w:jc w:val="center"/>
              <w:rPr>
                <w:rFonts w:ascii="宋体" w:hAnsi="宋体"/>
                <w:sz w:val="20"/>
              </w:rPr>
            </w:pPr>
            <w:r>
              <w:rPr>
                <w:rFonts w:ascii="宋体" w:hAnsi="宋体" w:hint="eastAsia"/>
                <w:sz w:val="20"/>
              </w:rPr>
              <w:t>Ⅰ级</w:t>
            </w:r>
          </w:p>
        </w:tc>
        <w:tc>
          <w:tcPr>
            <w:tcW w:w="1843" w:type="dxa"/>
            <w:tcBorders>
              <w:top w:val="single" w:sz="4" w:space="0" w:color="auto"/>
              <w:left w:val="single" w:sz="4" w:space="0" w:color="auto"/>
              <w:bottom w:val="single" w:sz="4" w:space="0" w:color="auto"/>
              <w:right w:val="single" w:sz="4" w:space="0" w:color="auto"/>
            </w:tcBorders>
          </w:tcPr>
          <w:p w14:paraId="590F5E4A" w14:textId="77777777" w:rsidR="006E40F8" w:rsidRDefault="00320394">
            <w:pPr>
              <w:spacing w:line="360" w:lineRule="auto"/>
              <w:jc w:val="center"/>
              <w:rPr>
                <w:rFonts w:ascii="黑体" w:eastAsia="黑体" w:hAnsi="黑体"/>
                <w:sz w:val="20"/>
              </w:rPr>
            </w:pPr>
            <w:r>
              <w:rPr>
                <w:rFonts w:ascii="黑体" w:eastAsia="黑体" w:hAnsi="黑体" w:hint="eastAsia"/>
                <w:sz w:val="20"/>
              </w:rPr>
              <w:t>极高风险</w:t>
            </w:r>
          </w:p>
        </w:tc>
        <w:tc>
          <w:tcPr>
            <w:tcW w:w="3343" w:type="dxa"/>
            <w:tcBorders>
              <w:top w:val="single" w:sz="4" w:space="0" w:color="auto"/>
              <w:left w:val="single" w:sz="4" w:space="0" w:color="auto"/>
              <w:bottom w:val="single" w:sz="4" w:space="0" w:color="auto"/>
              <w:right w:val="single" w:sz="4" w:space="0" w:color="auto"/>
            </w:tcBorders>
            <w:vAlign w:val="center"/>
          </w:tcPr>
          <w:p w14:paraId="17139D6B" w14:textId="77777777" w:rsidR="006E40F8" w:rsidRDefault="00320394">
            <w:pPr>
              <w:spacing w:line="360" w:lineRule="auto"/>
              <w:jc w:val="center"/>
              <w:rPr>
                <w:rFonts w:ascii="黑体" w:eastAsia="黑体" w:hAnsi="黑体"/>
                <w:szCs w:val="22"/>
              </w:rPr>
            </w:pPr>
            <w:r>
              <w:rPr>
                <w:rFonts w:ascii="黑体" w:eastAsia="黑体" w:hAnsi="黑体" w:hint="eastAsia"/>
                <w:sz w:val="20"/>
              </w:rPr>
              <w:t>有特别严重影响</w:t>
            </w:r>
          </w:p>
        </w:tc>
        <w:tc>
          <w:tcPr>
            <w:tcW w:w="1854" w:type="dxa"/>
            <w:tcBorders>
              <w:top w:val="single" w:sz="4" w:space="0" w:color="auto"/>
              <w:left w:val="single" w:sz="4" w:space="0" w:color="auto"/>
              <w:bottom w:val="single" w:sz="4" w:space="0" w:color="auto"/>
              <w:right w:val="single" w:sz="4" w:space="0" w:color="auto"/>
            </w:tcBorders>
            <w:vAlign w:val="center"/>
          </w:tcPr>
          <w:p w14:paraId="1D661DBA" w14:textId="77777777" w:rsidR="006E40F8" w:rsidRDefault="00320394">
            <w:pPr>
              <w:spacing w:line="360" w:lineRule="auto"/>
              <w:jc w:val="center"/>
              <w:rPr>
                <w:rFonts w:ascii="黑体" w:eastAsia="黑体" w:hAnsi="黑体"/>
                <w:szCs w:val="22"/>
              </w:rPr>
            </w:pPr>
            <w:r>
              <w:rPr>
                <w:rFonts w:ascii="黑体" w:eastAsia="黑体" w:hAnsi="黑体" w:hint="eastAsia"/>
                <w:sz w:val="20"/>
              </w:rPr>
              <w:t>红色</w:t>
            </w:r>
          </w:p>
        </w:tc>
      </w:tr>
    </w:tbl>
    <w:p w14:paraId="317899D2" w14:textId="77777777" w:rsidR="006E40F8" w:rsidRDefault="006E40F8">
      <w:pPr>
        <w:adjustRightInd w:val="0"/>
        <w:snapToGrid w:val="0"/>
        <w:ind w:firstLineChars="196" w:firstLine="627"/>
        <w:jc w:val="left"/>
        <w:rPr>
          <w:rFonts w:eastAsia="仿宋_GB2312"/>
          <w:kern w:val="0"/>
          <w:sz w:val="32"/>
          <w:szCs w:val="32"/>
        </w:rPr>
      </w:pPr>
    </w:p>
    <w:p w14:paraId="0CEBC9AD" w14:textId="51DBA9EA" w:rsidR="006E40F8" w:rsidRDefault="00320394">
      <w:pPr>
        <w:adjustRightInd w:val="0"/>
        <w:snapToGrid w:val="0"/>
        <w:ind w:firstLineChars="196" w:firstLine="627"/>
        <w:jc w:val="left"/>
        <w:rPr>
          <w:rFonts w:ascii="楷体" w:eastAsia="楷体" w:hAnsi="楷体"/>
          <w:kern w:val="0"/>
          <w:sz w:val="32"/>
          <w:szCs w:val="32"/>
        </w:rPr>
      </w:pPr>
      <w:r>
        <w:rPr>
          <w:rFonts w:ascii="楷体" w:eastAsia="楷体" w:hAnsi="楷体" w:hint="eastAsia"/>
          <w:kern w:val="0"/>
          <w:sz w:val="32"/>
          <w:szCs w:val="32"/>
        </w:rPr>
        <w:t>（五）</w:t>
      </w:r>
      <w:bookmarkEnd w:id="14"/>
      <w:r>
        <w:rPr>
          <w:rFonts w:ascii="楷体" w:eastAsia="楷体" w:hAnsi="楷体" w:hint="eastAsia"/>
          <w:kern w:val="0"/>
          <w:sz w:val="32"/>
          <w:szCs w:val="32"/>
        </w:rPr>
        <w:t>水上航运大风可能造成安全隐患的风险</w:t>
      </w:r>
      <w:r w:rsidR="0083416E">
        <w:rPr>
          <w:rFonts w:ascii="楷体" w:eastAsia="楷体" w:hAnsi="楷体" w:hint="eastAsia"/>
          <w:kern w:val="0"/>
          <w:sz w:val="32"/>
          <w:szCs w:val="32"/>
        </w:rPr>
        <w:t>分</w:t>
      </w:r>
      <w:r>
        <w:rPr>
          <w:rFonts w:ascii="楷体" w:eastAsia="楷体" w:hAnsi="楷体" w:hint="eastAsia"/>
          <w:kern w:val="0"/>
          <w:sz w:val="32"/>
          <w:szCs w:val="32"/>
        </w:rPr>
        <w:t>级划分</w:t>
      </w:r>
    </w:p>
    <w:p w14:paraId="09627449" w14:textId="6204E48D" w:rsidR="006E40F8" w:rsidRDefault="0083416E" w:rsidP="00320394">
      <w:pPr>
        <w:pStyle w:val="ab"/>
        <w:spacing w:line="360" w:lineRule="auto"/>
        <w:ind w:firstLine="640"/>
        <w:rPr>
          <w:rFonts w:ascii="仿宋_GB2312" w:eastAsia="仿宋_GB2312"/>
          <w:sz w:val="32"/>
          <w:szCs w:val="32"/>
        </w:rPr>
      </w:pPr>
      <w:bookmarkStart w:id="15" w:name="_Toc120149481"/>
      <w:r>
        <w:rPr>
          <w:rFonts w:ascii="仿宋_GB2312" w:eastAsia="仿宋_GB2312" w:hint="eastAsia"/>
          <w:sz w:val="32"/>
          <w:szCs w:val="32"/>
        </w:rPr>
        <w:t>水上航运大风可能造成安全隐患的风险分</w:t>
      </w:r>
      <w:r w:rsidR="00320394">
        <w:rPr>
          <w:rFonts w:ascii="仿宋_GB2312" w:eastAsia="仿宋_GB2312" w:hint="eastAsia"/>
          <w:sz w:val="32"/>
          <w:szCs w:val="32"/>
        </w:rPr>
        <w:t>级划分，见表2。</w:t>
      </w:r>
    </w:p>
    <w:p w14:paraId="6BF7E1E2" w14:textId="77777777" w:rsidR="006E40F8" w:rsidRDefault="006E40F8" w:rsidP="00320394">
      <w:pPr>
        <w:spacing w:line="360" w:lineRule="auto"/>
        <w:rPr>
          <w:rFonts w:ascii="黑体" w:eastAsia="黑体" w:hAnsi="黑体"/>
        </w:rPr>
      </w:pPr>
    </w:p>
    <w:p w14:paraId="72DA740F" w14:textId="2CD71402" w:rsidR="006E40F8" w:rsidRDefault="00320394">
      <w:pPr>
        <w:spacing w:line="360" w:lineRule="auto"/>
        <w:jc w:val="center"/>
        <w:rPr>
          <w:rFonts w:ascii="黑体" w:eastAsia="黑体" w:hAnsi="黑体"/>
        </w:rPr>
      </w:pPr>
      <w:r>
        <w:rPr>
          <w:rFonts w:ascii="黑体" w:eastAsia="黑体" w:hAnsi="黑体" w:hint="eastAsia"/>
        </w:rPr>
        <w:lastRenderedPageBreak/>
        <w:t>表2水上航运大风可能造成安全隐患的风险</w:t>
      </w:r>
      <w:r w:rsidR="0083416E">
        <w:rPr>
          <w:rFonts w:ascii="黑体" w:eastAsia="黑体" w:hAnsi="黑体" w:hint="eastAsia"/>
        </w:rPr>
        <w:t>分</w:t>
      </w:r>
      <w:r>
        <w:rPr>
          <w:rFonts w:ascii="黑体" w:eastAsia="黑体" w:hAnsi="黑体" w:hint="eastAsia"/>
        </w:rPr>
        <w:t>级划分</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3201"/>
        <w:gridCol w:w="1977"/>
        <w:gridCol w:w="1709"/>
      </w:tblGrid>
      <w:tr w:rsidR="006E40F8" w14:paraId="2D0C6DAB" w14:textId="77777777">
        <w:trPr>
          <w:trHeight w:hRule="exact" w:val="363"/>
          <w:jc w:val="center"/>
        </w:trPr>
        <w:tc>
          <w:tcPr>
            <w:tcW w:w="1473" w:type="dxa"/>
            <w:tcBorders>
              <w:top w:val="single" w:sz="4" w:space="0" w:color="auto"/>
              <w:left w:val="single" w:sz="4" w:space="0" w:color="auto"/>
              <w:bottom w:val="single" w:sz="4" w:space="0" w:color="auto"/>
              <w:right w:val="single" w:sz="4" w:space="0" w:color="auto"/>
            </w:tcBorders>
            <w:vAlign w:val="center"/>
          </w:tcPr>
          <w:p w14:paraId="6EE3E394" w14:textId="77777777" w:rsidR="006E40F8" w:rsidRDefault="00320394">
            <w:pPr>
              <w:spacing w:line="360" w:lineRule="auto"/>
              <w:jc w:val="center"/>
              <w:rPr>
                <w:rFonts w:ascii="黑体" w:eastAsia="黑体" w:hAnsi="黑体"/>
                <w:szCs w:val="22"/>
              </w:rPr>
            </w:pPr>
            <w:r>
              <w:rPr>
                <w:rFonts w:ascii="黑体" w:eastAsia="黑体" w:hAnsi="黑体" w:hint="eastAsia"/>
                <w:sz w:val="20"/>
              </w:rPr>
              <w:t>划分等级</w:t>
            </w:r>
          </w:p>
        </w:tc>
        <w:tc>
          <w:tcPr>
            <w:tcW w:w="3201" w:type="dxa"/>
            <w:tcBorders>
              <w:top w:val="single" w:sz="4" w:space="0" w:color="auto"/>
              <w:left w:val="single" w:sz="4" w:space="0" w:color="auto"/>
              <w:bottom w:val="single" w:sz="4" w:space="0" w:color="auto"/>
              <w:right w:val="single" w:sz="4" w:space="0" w:color="auto"/>
            </w:tcBorders>
          </w:tcPr>
          <w:p w14:paraId="3EABB511" w14:textId="77777777" w:rsidR="006E40F8" w:rsidRDefault="00320394">
            <w:pPr>
              <w:spacing w:line="360" w:lineRule="auto"/>
              <w:jc w:val="center"/>
              <w:rPr>
                <w:rFonts w:ascii="黑体" w:eastAsia="黑体" w:hAnsi="黑体"/>
                <w:sz w:val="20"/>
              </w:rPr>
            </w:pPr>
            <w:r>
              <w:rPr>
                <w:rFonts w:ascii="黑体" w:eastAsia="黑体" w:hAnsi="黑体" w:hint="eastAsia"/>
                <w:sz w:val="20"/>
              </w:rPr>
              <w:t>划分标准</w:t>
            </w:r>
          </w:p>
        </w:tc>
        <w:tc>
          <w:tcPr>
            <w:tcW w:w="1977" w:type="dxa"/>
            <w:tcBorders>
              <w:top w:val="single" w:sz="4" w:space="0" w:color="auto"/>
              <w:left w:val="single" w:sz="4" w:space="0" w:color="auto"/>
              <w:bottom w:val="single" w:sz="4" w:space="0" w:color="auto"/>
              <w:right w:val="single" w:sz="4" w:space="0" w:color="auto"/>
            </w:tcBorders>
            <w:vAlign w:val="center"/>
          </w:tcPr>
          <w:p w14:paraId="78702525" w14:textId="77777777" w:rsidR="006E40F8" w:rsidRDefault="00320394">
            <w:pPr>
              <w:spacing w:line="360" w:lineRule="auto"/>
              <w:ind w:firstLineChars="100" w:firstLine="210"/>
              <w:jc w:val="left"/>
              <w:rPr>
                <w:rFonts w:ascii="黑体" w:eastAsia="黑体" w:hAnsi="黑体"/>
                <w:szCs w:val="22"/>
              </w:rPr>
            </w:pPr>
            <w:r>
              <w:rPr>
                <w:rFonts w:ascii="黑体" w:eastAsia="黑体" w:hAnsi="黑体" w:hint="eastAsia"/>
                <w:szCs w:val="22"/>
              </w:rPr>
              <w:t>风险等级</w:t>
            </w:r>
          </w:p>
        </w:tc>
        <w:tc>
          <w:tcPr>
            <w:tcW w:w="1709" w:type="dxa"/>
            <w:tcBorders>
              <w:top w:val="single" w:sz="4" w:space="0" w:color="auto"/>
              <w:left w:val="single" w:sz="4" w:space="0" w:color="auto"/>
              <w:bottom w:val="single" w:sz="4" w:space="0" w:color="auto"/>
              <w:right w:val="single" w:sz="4" w:space="0" w:color="auto"/>
            </w:tcBorders>
            <w:vAlign w:val="center"/>
          </w:tcPr>
          <w:p w14:paraId="08EA54D5" w14:textId="77777777" w:rsidR="006E40F8" w:rsidRDefault="00320394">
            <w:pPr>
              <w:spacing w:line="360" w:lineRule="auto"/>
              <w:jc w:val="center"/>
              <w:rPr>
                <w:rFonts w:ascii="黑体" w:eastAsia="黑体" w:hAnsi="黑体"/>
                <w:szCs w:val="22"/>
              </w:rPr>
            </w:pPr>
            <w:r>
              <w:rPr>
                <w:rFonts w:ascii="黑体" w:eastAsia="黑体" w:hAnsi="黑体" w:hint="eastAsia"/>
                <w:sz w:val="20"/>
              </w:rPr>
              <w:t>颜色表征</w:t>
            </w:r>
          </w:p>
        </w:tc>
      </w:tr>
      <w:tr w:rsidR="006E40F8" w14:paraId="6B56AF5B" w14:textId="77777777">
        <w:trPr>
          <w:trHeight w:hRule="exact" w:val="523"/>
          <w:jc w:val="center"/>
        </w:trPr>
        <w:tc>
          <w:tcPr>
            <w:tcW w:w="1473" w:type="dxa"/>
            <w:tcBorders>
              <w:top w:val="single" w:sz="4" w:space="0" w:color="auto"/>
              <w:left w:val="single" w:sz="4" w:space="0" w:color="auto"/>
              <w:bottom w:val="single" w:sz="4" w:space="0" w:color="auto"/>
              <w:right w:val="single" w:sz="4" w:space="0" w:color="auto"/>
            </w:tcBorders>
            <w:vAlign w:val="center"/>
          </w:tcPr>
          <w:p w14:paraId="56F6A2D4" w14:textId="77777777" w:rsidR="006E40F8" w:rsidRDefault="00320394">
            <w:pPr>
              <w:spacing w:line="360" w:lineRule="auto"/>
              <w:jc w:val="center"/>
              <w:rPr>
                <w:rFonts w:ascii="宋体" w:hAnsi="宋体"/>
                <w:szCs w:val="22"/>
              </w:rPr>
            </w:pPr>
            <w:r>
              <w:rPr>
                <w:rFonts w:ascii="宋体" w:hAnsi="宋体" w:hint="eastAsia"/>
                <w:sz w:val="20"/>
              </w:rPr>
              <w:t>Ⅴ级</w:t>
            </w:r>
          </w:p>
        </w:tc>
        <w:tc>
          <w:tcPr>
            <w:tcW w:w="3201" w:type="dxa"/>
            <w:tcBorders>
              <w:top w:val="single" w:sz="4" w:space="0" w:color="auto"/>
              <w:left w:val="single" w:sz="4" w:space="0" w:color="auto"/>
              <w:bottom w:val="single" w:sz="4" w:space="0" w:color="auto"/>
              <w:right w:val="single" w:sz="4" w:space="0" w:color="auto"/>
            </w:tcBorders>
          </w:tcPr>
          <w:p w14:paraId="65CAEBF5" w14:textId="77777777" w:rsidR="006E40F8" w:rsidRDefault="00320394">
            <w:pPr>
              <w:spacing w:line="360" w:lineRule="auto"/>
              <w:jc w:val="center"/>
              <w:rPr>
                <w:rFonts w:ascii="黑体" w:eastAsia="黑体" w:hAnsi="黑体"/>
                <w:sz w:val="20"/>
              </w:rPr>
            </w:pPr>
            <w:r>
              <w:rPr>
                <w:rFonts w:ascii="黑体" w:eastAsia="黑体" w:hAnsi="黑体" w:hint="eastAsia"/>
                <w:sz w:val="20"/>
              </w:rPr>
              <w:t>W＜3级</w:t>
            </w:r>
          </w:p>
        </w:tc>
        <w:tc>
          <w:tcPr>
            <w:tcW w:w="1977" w:type="dxa"/>
            <w:tcBorders>
              <w:top w:val="single" w:sz="4" w:space="0" w:color="auto"/>
              <w:left w:val="single" w:sz="4" w:space="0" w:color="auto"/>
              <w:bottom w:val="single" w:sz="4" w:space="0" w:color="auto"/>
              <w:right w:val="single" w:sz="4" w:space="0" w:color="auto"/>
            </w:tcBorders>
          </w:tcPr>
          <w:p w14:paraId="19224A01" w14:textId="77777777" w:rsidR="006E40F8" w:rsidRDefault="00320394">
            <w:pPr>
              <w:spacing w:line="360" w:lineRule="auto"/>
              <w:jc w:val="center"/>
              <w:rPr>
                <w:rFonts w:ascii="黑体" w:eastAsia="黑体" w:hAnsi="黑体"/>
                <w:sz w:val="20"/>
              </w:rPr>
            </w:pPr>
            <w:r>
              <w:rPr>
                <w:rFonts w:ascii="黑体" w:eastAsia="黑体" w:hAnsi="黑体" w:hint="eastAsia"/>
                <w:sz w:val="20"/>
              </w:rPr>
              <w:t>无风险</w:t>
            </w:r>
          </w:p>
        </w:tc>
        <w:tc>
          <w:tcPr>
            <w:tcW w:w="1709" w:type="dxa"/>
            <w:tcBorders>
              <w:top w:val="single" w:sz="4" w:space="0" w:color="auto"/>
              <w:left w:val="single" w:sz="4" w:space="0" w:color="auto"/>
              <w:bottom w:val="single" w:sz="4" w:space="0" w:color="auto"/>
              <w:right w:val="single" w:sz="4" w:space="0" w:color="auto"/>
            </w:tcBorders>
            <w:vAlign w:val="center"/>
          </w:tcPr>
          <w:p w14:paraId="6B4BC557" w14:textId="77777777" w:rsidR="006E40F8" w:rsidRDefault="00320394">
            <w:pPr>
              <w:spacing w:line="360" w:lineRule="auto"/>
              <w:jc w:val="center"/>
              <w:rPr>
                <w:rFonts w:ascii="黑体" w:eastAsia="黑体" w:hAnsi="黑体"/>
                <w:szCs w:val="22"/>
              </w:rPr>
            </w:pPr>
            <w:r>
              <w:rPr>
                <w:rFonts w:ascii="黑体" w:eastAsia="黑体" w:hAnsi="黑体" w:hint="eastAsia"/>
                <w:sz w:val="20"/>
              </w:rPr>
              <w:t>绿色</w:t>
            </w:r>
          </w:p>
        </w:tc>
      </w:tr>
      <w:tr w:rsidR="006E40F8" w14:paraId="78F3B1EF" w14:textId="77777777">
        <w:trPr>
          <w:trHeight w:hRule="exact" w:val="529"/>
          <w:jc w:val="center"/>
        </w:trPr>
        <w:tc>
          <w:tcPr>
            <w:tcW w:w="1473" w:type="dxa"/>
            <w:tcBorders>
              <w:top w:val="single" w:sz="4" w:space="0" w:color="auto"/>
              <w:left w:val="single" w:sz="4" w:space="0" w:color="auto"/>
              <w:bottom w:val="single" w:sz="4" w:space="0" w:color="auto"/>
              <w:right w:val="single" w:sz="4" w:space="0" w:color="auto"/>
            </w:tcBorders>
            <w:vAlign w:val="center"/>
          </w:tcPr>
          <w:p w14:paraId="09EF6D9A" w14:textId="77777777" w:rsidR="006E40F8" w:rsidRDefault="00320394">
            <w:pPr>
              <w:spacing w:line="360" w:lineRule="auto"/>
              <w:jc w:val="center"/>
              <w:rPr>
                <w:rFonts w:ascii="宋体" w:hAnsi="宋体"/>
                <w:sz w:val="20"/>
              </w:rPr>
            </w:pPr>
            <w:r>
              <w:rPr>
                <w:rFonts w:ascii="宋体" w:hAnsi="宋体" w:hint="eastAsia"/>
                <w:sz w:val="20"/>
              </w:rPr>
              <w:t>Ⅳ级</w:t>
            </w:r>
          </w:p>
        </w:tc>
        <w:tc>
          <w:tcPr>
            <w:tcW w:w="3201" w:type="dxa"/>
            <w:tcBorders>
              <w:top w:val="single" w:sz="4" w:space="0" w:color="auto"/>
              <w:left w:val="single" w:sz="4" w:space="0" w:color="auto"/>
              <w:bottom w:val="single" w:sz="4" w:space="0" w:color="auto"/>
              <w:right w:val="single" w:sz="4" w:space="0" w:color="auto"/>
            </w:tcBorders>
          </w:tcPr>
          <w:p w14:paraId="676A3571" w14:textId="77777777" w:rsidR="006E40F8" w:rsidRDefault="00320394">
            <w:pPr>
              <w:spacing w:line="360" w:lineRule="auto"/>
              <w:jc w:val="center"/>
              <w:rPr>
                <w:rFonts w:ascii="黑体" w:eastAsia="黑体" w:hAnsi="黑体"/>
                <w:sz w:val="20"/>
              </w:rPr>
            </w:pPr>
            <w:r>
              <w:rPr>
                <w:rFonts w:ascii="黑体" w:eastAsia="黑体" w:hAnsi="黑体" w:hint="eastAsia"/>
                <w:sz w:val="20"/>
              </w:rPr>
              <w:t>3级≤W＜4级</w:t>
            </w:r>
          </w:p>
          <w:p w14:paraId="48F7E445" w14:textId="77777777" w:rsidR="006E40F8" w:rsidRDefault="006E40F8">
            <w:pPr>
              <w:spacing w:line="360" w:lineRule="auto"/>
              <w:jc w:val="center"/>
              <w:rPr>
                <w:rFonts w:ascii="黑体" w:eastAsia="黑体" w:hAnsi="黑体"/>
                <w:sz w:val="20"/>
              </w:rPr>
            </w:pPr>
          </w:p>
        </w:tc>
        <w:tc>
          <w:tcPr>
            <w:tcW w:w="1977" w:type="dxa"/>
            <w:tcBorders>
              <w:top w:val="single" w:sz="4" w:space="0" w:color="auto"/>
              <w:left w:val="single" w:sz="4" w:space="0" w:color="auto"/>
              <w:bottom w:val="single" w:sz="4" w:space="0" w:color="auto"/>
              <w:right w:val="single" w:sz="4" w:space="0" w:color="auto"/>
            </w:tcBorders>
          </w:tcPr>
          <w:p w14:paraId="33C3E462" w14:textId="77777777" w:rsidR="006E40F8" w:rsidRDefault="00320394">
            <w:pPr>
              <w:spacing w:line="360" w:lineRule="auto"/>
              <w:jc w:val="center"/>
              <w:rPr>
                <w:rFonts w:ascii="黑体" w:eastAsia="黑体" w:hAnsi="黑体"/>
                <w:sz w:val="20"/>
              </w:rPr>
            </w:pPr>
            <w:r>
              <w:rPr>
                <w:rFonts w:ascii="黑体" w:eastAsia="黑体" w:hAnsi="黑体" w:hint="eastAsia"/>
                <w:sz w:val="20"/>
              </w:rPr>
              <w:t>低风险</w:t>
            </w:r>
          </w:p>
        </w:tc>
        <w:tc>
          <w:tcPr>
            <w:tcW w:w="1709" w:type="dxa"/>
            <w:tcBorders>
              <w:top w:val="single" w:sz="4" w:space="0" w:color="auto"/>
              <w:left w:val="single" w:sz="4" w:space="0" w:color="auto"/>
              <w:bottom w:val="single" w:sz="4" w:space="0" w:color="auto"/>
              <w:right w:val="single" w:sz="4" w:space="0" w:color="auto"/>
            </w:tcBorders>
            <w:vAlign w:val="center"/>
          </w:tcPr>
          <w:p w14:paraId="7BAE19D9" w14:textId="77777777" w:rsidR="006E40F8" w:rsidRDefault="00320394">
            <w:pPr>
              <w:spacing w:line="360" w:lineRule="auto"/>
              <w:jc w:val="center"/>
              <w:rPr>
                <w:rFonts w:ascii="黑体" w:eastAsia="黑体" w:hAnsi="黑体"/>
                <w:sz w:val="20"/>
                <w:szCs w:val="22"/>
              </w:rPr>
            </w:pPr>
            <w:r>
              <w:rPr>
                <w:rFonts w:ascii="黑体" w:eastAsia="黑体" w:hAnsi="黑体" w:hint="eastAsia"/>
                <w:sz w:val="20"/>
              </w:rPr>
              <w:t>蓝色</w:t>
            </w:r>
          </w:p>
        </w:tc>
      </w:tr>
      <w:tr w:rsidR="006E40F8" w14:paraId="4C57B4AE" w14:textId="77777777">
        <w:trPr>
          <w:trHeight w:hRule="exact" w:val="499"/>
          <w:jc w:val="center"/>
        </w:trPr>
        <w:tc>
          <w:tcPr>
            <w:tcW w:w="1473" w:type="dxa"/>
            <w:tcBorders>
              <w:top w:val="single" w:sz="4" w:space="0" w:color="auto"/>
              <w:left w:val="single" w:sz="4" w:space="0" w:color="auto"/>
              <w:bottom w:val="single" w:sz="4" w:space="0" w:color="auto"/>
              <w:right w:val="single" w:sz="4" w:space="0" w:color="auto"/>
            </w:tcBorders>
            <w:vAlign w:val="center"/>
          </w:tcPr>
          <w:p w14:paraId="4A32C35E" w14:textId="77777777" w:rsidR="006E40F8" w:rsidRDefault="00320394">
            <w:pPr>
              <w:spacing w:line="360" w:lineRule="auto"/>
              <w:jc w:val="center"/>
              <w:rPr>
                <w:rFonts w:ascii="宋体" w:hAnsi="宋体"/>
                <w:sz w:val="20"/>
              </w:rPr>
            </w:pPr>
            <w:r>
              <w:rPr>
                <w:rFonts w:ascii="宋体" w:hAnsi="宋体" w:hint="eastAsia"/>
                <w:sz w:val="20"/>
              </w:rPr>
              <w:t>Ⅲ级</w:t>
            </w:r>
          </w:p>
        </w:tc>
        <w:tc>
          <w:tcPr>
            <w:tcW w:w="3201" w:type="dxa"/>
            <w:tcBorders>
              <w:top w:val="single" w:sz="4" w:space="0" w:color="auto"/>
              <w:left w:val="single" w:sz="4" w:space="0" w:color="auto"/>
              <w:bottom w:val="single" w:sz="4" w:space="0" w:color="auto"/>
              <w:right w:val="single" w:sz="4" w:space="0" w:color="auto"/>
            </w:tcBorders>
          </w:tcPr>
          <w:p w14:paraId="155A6359" w14:textId="77777777" w:rsidR="006E40F8" w:rsidRDefault="00320394">
            <w:pPr>
              <w:spacing w:line="360" w:lineRule="auto"/>
              <w:jc w:val="center"/>
              <w:rPr>
                <w:rFonts w:ascii="黑体" w:eastAsia="黑体" w:hAnsi="黑体"/>
                <w:sz w:val="20"/>
              </w:rPr>
            </w:pPr>
            <w:r>
              <w:rPr>
                <w:rFonts w:ascii="黑体" w:eastAsia="黑体" w:hAnsi="黑体" w:hint="eastAsia"/>
                <w:sz w:val="20"/>
              </w:rPr>
              <w:t>4级≤W＜5级</w:t>
            </w:r>
          </w:p>
        </w:tc>
        <w:tc>
          <w:tcPr>
            <w:tcW w:w="1977" w:type="dxa"/>
            <w:tcBorders>
              <w:top w:val="single" w:sz="4" w:space="0" w:color="auto"/>
              <w:left w:val="single" w:sz="4" w:space="0" w:color="auto"/>
              <w:bottom w:val="single" w:sz="4" w:space="0" w:color="auto"/>
              <w:right w:val="single" w:sz="4" w:space="0" w:color="auto"/>
            </w:tcBorders>
          </w:tcPr>
          <w:p w14:paraId="3B2CDAE6" w14:textId="77777777" w:rsidR="006E40F8" w:rsidRDefault="00320394">
            <w:pPr>
              <w:spacing w:line="360" w:lineRule="auto"/>
              <w:jc w:val="center"/>
              <w:rPr>
                <w:rFonts w:ascii="黑体" w:eastAsia="黑体" w:hAnsi="黑体"/>
                <w:sz w:val="20"/>
              </w:rPr>
            </w:pPr>
            <w:r>
              <w:rPr>
                <w:rFonts w:ascii="黑体" w:eastAsia="黑体" w:hAnsi="黑体" w:hint="eastAsia"/>
                <w:sz w:val="20"/>
              </w:rPr>
              <w:t>中风险</w:t>
            </w:r>
          </w:p>
        </w:tc>
        <w:tc>
          <w:tcPr>
            <w:tcW w:w="1709" w:type="dxa"/>
            <w:tcBorders>
              <w:top w:val="single" w:sz="4" w:space="0" w:color="auto"/>
              <w:left w:val="single" w:sz="4" w:space="0" w:color="auto"/>
              <w:bottom w:val="single" w:sz="4" w:space="0" w:color="auto"/>
              <w:right w:val="single" w:sz="4" w:space="0" w:color="auto"/>
            </w:tcBorders>
            <w:vAlign w:val="center"/>
          </w:tcPr>
          <w:p w14:paraId="392CE8A8" w14:textId="77777777" w:rsidR="006E40F8" w:rsidRDefault="00320394">
            <w:pPr>
              <w:spacing w:line="360" w:lineRule="auto"/>
              <w:jc w:val="center"/>
              <w:rPr>
                <w:rFonts w:ascii="黑体" w:eastAsia="黑体" w:hAnsi="黑体"/>
                <w:szCs w:val="22"/>
              </w:rPr>
            </w:pPr>
            <w:r>
              <w:rPr>
                <w:rFonts w:ascii="黑体" w:eastAsia="黑体" w:hAnsi="黑体" w:hint="eastAsia"/>
                <w:sz w:val="20"/>
              </w:rPr>
              <w:t>黄色</w:t>
            </w:r>
          </w:p>
        </w:tc>
      </w:tr>
      <w:tr w:rsidR="006E40F8" w14:paraId="48E7489A" w14:textId="77777777">
        <w:trPr>
          <w:trHeight w:hRule="exact" w:val="564"/>
          <w:jc w:val="center"/>
        </w:trPr>
        <w:tc>
          <w:tcPr>
            <w:tcW w:w="1473" w:type="dxa"/>
            <w:tcBorders>
              <w:top w:val="single" w:sz="4" w:space="0" w:color="auto"/>
              <w:left w:val="single" w:sz="4" w:space="0" w:color="auto"/>
              <w:bottom w:val="single" w:sz="4" w:space="0" w:color="auto"/>
              <w:right w:val="single" w:sz="4" w:space="0" w:color="auto"/>
            </w:tcBorders>
            <w:vAlign w:val="center"/>
          </w:tcPr>
          <w:p w14:paraId="458E8BA7" w14:textId="77777777" w:rsidR="006E40F8" w:rsidRDefault="00320394">
            <w:pPr>
              <w:spacing w:line="360" w:lineRule="auto"/>
              <w:jc w:val="center"/>
              <w:rPr>
                <w:rFonts w:ascii="宋体" w:hAnsi="宋体"/>
                <w:sz w:val="20"/>
              </w:rPr>
            </w:pPr>
            <w:r>
              <w:rPr>
                <w:rFonts w:ascii="宋体" w:hAnsi="宋体" w:hint="eastAsia"/>
                <w:sz w:val="20"/>
              </w:rPr>
              <w:t>Ⅱ级</w:t>
            </w:r>
          </w:p>
        </w:tc>
        <w:tc>
          <w:tcPr>
            <w:tcW w:w="3201" w:type="dxa"/>
            <w:tcBorders>
              <w:top w:val="single" w:sz="4" w:space="0" w:color="auto"/>
              <w:left w:val="single" w:sz="4" w:space="0" w:color="auto"/>
              <w:bottom w:val="single" w:sz="4" w:space="0" w:color="auto"/>
              <w:right w:val="single" w:sz="4" w:space="0" w:color="auto"/>
            </w:tcBorders>
          </w:tcPr>
          <w:p w14:paraId="413F363F" w14:textId="77777777" w:rsidR="006E40F8" w:rsidRDefault="00320394">
            <w:pPr>
              <w:spacing w:line="360" w:lineRule="auto"/>
              <w:jc w:val="center"/>
              <w:rPr>
                <w:rFonts w:ascii="黑体" w:eastAsia="黑体" w:hAnsi="黑体"/>
                <w:sz w:val="20"/>
              </w:rPr>
            </w:pPr>
            <w:r>
              <w:rPr>
                <w:rFonts w:ascii="黑体" w:eastAsia="黑体" w:hAnsi="黑体" w:hint="eastAsia"/>
                <w:sz w:val="20"/>
              </w:rPr>
              <w:t>5级≤W＜7级</w:t>
            </w:r>
          </w:p>
          <w:p w14:paraId="79B91C01" w14:textId="77777777" w:rsidR="006E40F8" w:rsidRDefault="006E40F8">
            <w:pPr>
              <w:spacing w:line="360" w:lineRule="auto"/>
              <w:jc w:val="center"/>
              <w:rPr>
                <w:rFonts w:ascii="黑体" w:eastAsia="黑体" w:hAnsi="黑体"/>
                <w:sz w:val="20"/>
              </w:rPr>
            </w:pPr>
          </w:p>
        </w:tc>
        <w:tc>
          <w:tcPr>
            <w:tcW w:w="1977" w:type="dxa"/>
            <w:tcBorders>
              <w:top w:val="single" w:sz="4" w:space="0" w:color="auto"/>
              <w:left w:val="single" w:sz="4" w:space="0" w:color="auto"/>
              <w:bottom w:val="single" w:sz="4" w:space="0" w:color="auto"/>
              <w:right w:val="single" w:sz="4" w:space="0" w:color="auto"/>
            </w:tcBorders>
          </w:tcPr>
          <w:p w14:paraId="52343B03" w14:textId="77777777" w:rsidR="006E40F8" w:rsidRDefault="00320394">
            <w:pPr>
              <w:spacing w:line="360" w:lineRule="auto"/>
              <w:jc w:val="center"/>
              <w:rPr>
                <w:rFonts w:ascii="黑体" w:eastAsia="黑体" w:hAnsi="黑体"/>
                <w:sz w:val="20"/>
              </w:rPr>
            </w:pPr>
            <w:r>
              <w:rPr>
                <w:rFonts w:ascii="黑体" w:eastAsia="黑体" w:hAnsi="黑体" w:hint="eastAsia"/>
                <w:sz w:val="20"/>
              </w:rPr>
              <w:t>高风险</w:t>
            </w:r>
          </w:p>
        </w:tc>
        <w:tc>
          <w:tcPr>
            <w:tcW w:w="1709" w:type="dxa"/>
            <w:tcBorders>
              <w:top w:val="single" w:sz="4" w:space="0" w:color="auto"/>
              <w:left w:val="single" w:sz="4" w:space="0" w:color="auto"/>
              <w:bottom w:val="single" w:sz="4" w:space="0" w:color="auto"/>
              <w:right w:val="single" w:sz="4" w:space="0" w:color="auto"/>
            </w:tcBorders>
            <w:vAlign w:val="center"/>
          </w:tcPr>
          <w:p w14:paraId="30C7E0AB" w14:textId="77777777" w:rsidR="006E40F8" w:rsidRDefault="00320394">
            <w:pPr>
              <w:spacing w:line="360" w:lineRule="auto"/>
              <w:jc w:val="center"/>
              <w:rPr>
                <w:rFonts w:ascii="黑体" w:eastAsia="黑体" w:hAnsi="黑体"/>
                <w:szCs w:val="22"/>
              </w:rPr>
            </w:pPr>
            <w:r>
              <w:rPr>
                <w:rFonts w:ascii="黑体" w:eastAsia="黑体" w:hAnsi="黑体" w:hint="eastAsia"/>
                <w:sz w:val="20"/>
              </w:rPr>
              <w:t>橙色</w:t>
            </w:r>
          </w:p>
        </w:tc>
      </w:tr>
      <w:tr w:rsidR="006E40F8" w14:paraId="39A2CC11" w14:textId="77777777">
        <w:trPr>
          <w:trHeight w:hRule="exact" w:val="558"/>
          <w:jc w:val="center"/>
        </w:trPr>
        <w:tc>
          <w:tcPr>
            <w:tcW w:w="1473" w:type="dxa"/>
            <w:tcBorders>
              <w:top w:val="single" w:sz="4" w:space="0" w:color="auto"/>
              <w:left w:val="single" w:sz="4" w:space="0" w:color="auto"/>
              <w:bottom w:val="single" w:sz="4" w:space="0" w:color="auto"/>
              <w:right w:val="single" w:sz="4" w:space="0" w:color="auto"/>
            </w:tcBorders>
            <w:vAlign w:val="center"/>
          </w:tcPr>
          <w:p w14:paraId="4D497564" w14:textId="77777777" w:rsidR="006E40F8" w:rsidRDefault="00320394">
            <w:pPr>
              <w:spacing w:line="360" w:lineRule="auto"/>
              <w:jc w:val="center"/>
              <w:rPr>
                <w:rFonts w:ascii="宋体" w:hAnsi="宋体"/>
                <w:sz w:val="20"/>
              </w:rPr>
            </w:pPr>
            <w:r>
              <w:rPr>
                <w:rFonts w:ascii="宋体" w:hAnsi="宋体" w:hint="eastAsia"/>
                <w:sz w:val="20"/>
              </w:rPr>
              <w:t>Ⅰ级</w:t>
            </w:r>
          </w:p>
        </w:tc>
        <w:tc>
          <w:tcPr>
            <w:tcW w:w="3201" w:type="dxa"/>
            <w:tcBorders>
              <w:top w:val="single" w:sz="4" w:space="0" w:color="auto"/>
              <w:left w:val="single" w:sz="4" w:space="0" w:color="auto"/>
              <w:bottom w:val="single" w:sz="4" w:space="0" w:color="auto"/>
              <w:right w:val="single" w:sz="4" w:space="0" w:color="auto"/>
            </w:tcBorders>
          </w:tcPr>
          <w:p w14:paraId="4B84E857" w14:textId="77777777" w:rsidR="006E40F8" w:rsidRDefault="00320394">
            <w:pPr>
              <w:spacing w:line="360" w:lineRule="auto"/>
              <w:jc w:val="center"/>
              <w:rPr>
                <w:rFonts w:ascii="黑体" w:eastAsia="黑体" w:hAnsi="黑体"/>
                <w:sz w:val="20"/>
              </w:rPr>
            </w:pPr>
            <w:r>
              <w:rPr>
                <w:rFonts w:ascii="黑体" w:eastAsia="黑体" w:hAnsi="黑体" w:hint="eastAsia"/>
                <w:sz w:val="20"/>
              </w:rPr>
              <w:t>W≥7级</w:t>
            </w:r>
          </w:p>
        </w:tc>
        <w:tc>
          <w:tcPr>
            <w:tcW w:w="1977" w:type="dxa"/>
            <w:tcBorders>
              <w:top w:val="single" w:sz="4" w:space="0" w:color="auto"/>
              <w:left w:val="single" w:sz="4" w:space="0" w:color="auto"/>
              <w:bottom w:val="single" w:sz="4" w:space="0" w:color="auto"/>
              <w:right w:val="single" w:sz="4" w:space="0" w:color="auto"/>
            </w:tcBorders>
          </w:tcPr>
          <w:p w14:paraId="72515741" w14:textId="77777777" w:rsidR="006E40F8" w:rsidRDefault="00320394">
            <w:pPr>
              <w:spacing w:line="360" w:lineRule="auto"/>
              <w:jc w:val="center"/>
              <w:rPr>
                <w:rFonts w:ascii="黑体" w:eastAsia="黑体" w:hAnsi="黑体"/>
                <w:sz w:val="20"/>
              </w:rPr>
            </w:pPr>
            <w:r>
              <w:rPr>
                <w:rFonts w:ascii="黑体" w:eastAsia="黑体" w:hAnsi="黑体" w:hint="eastAsia"/>
                <w:sz w:val="20"/>
              </w:rPr>
              <w:t>极高风险</w:t>
            </w:r>
          </w:p>
        </w:tc>
        <w:tc>
          <w:tcPr>
            <w:tcW w:w="1709" w:type="dxa"/>
            <w:tcBorders>
              <w:top w:val="single" w:sz="4" w:space="0" w:color="auto"/>
              <w:left w:val="single" w:sz="4" w:space="0" w:color="auto"/>
              <w:bottom w:val="single" w:sz="4" w:space="0" w:color="auto"/>
              <w:right w:val="single" w:sz="4" w:space="0" w:color="auto"/>
            </w:tcBorders>
            <w:vAlign w:val="center"/>
          </w:tcPr>
          <w:p w14:paraId="5F8AAF80" w14:textId="77777777" w:rsidR="006E40F8" w:rsidRDefault="00320394">
            <w:pPr>
              <w:spacing w:line="360" w:lineRule="auto"/>
              <w:jc w:val="center"/>
              <w:rPr>
                <w:rFonts w:ascii="黑体" w:eastAsia="黑体" w:hAnsi="黑体"/>
                <w:szCs w:val="22"/>
              </w:rPr>
            </w:pPr>
            <w:r>
              <w:rPr>
                <w:rFonts w:ascii="黑体" w:eastAsia="黑体" w:hAnsi="黑体" w:hint="eastAsia"/>
                <w:sz w:val="20"/>
              </w:rPr>
              <w:t>红色</w:t>
            </w:r>
          </w:p>
        </w:tc>
      </w:tr>
      <w:tr w:rsidR="006E40F8" w14:paraId="2102397A" w14:textId="77777777">
        <w:trPr>
          <w:trHeight w:hRule="exact" w:val="503"/>
          <w:jc w:val="center"/>
        </w:trPr>
        <w:tc>
          <w:tcPr>
            <w:tcW w:w="8360" w:type="dxa"/>
            <w:gridSpan w:val="4"/>
            <w:tcBorders>
              <w:top w:val="single" w:sz="4" w:space="0" w:color="auto"/>
              <w:left w:val="single" w:sz="4" w:space="0" w:color="auto"/>
              <w:bottom w:val="single" w:sz="4" w:space="0" w:color="auto"/>
              <w:right w:val="single" w:sz="4" w:space="0" w:color="auto"/>
            </w:tcBorders>
            <w:vAlign w:val="center"/>
          </w:tcPr>
          <w:p w14:paraId="6DDA6A5D" w14:textId="77777777" w:rsidR="006E40F8" w:rsidRDefault="00320394">
            <w:pPr>
              <w:spacing w:line="360" w:lineRule="auto"/>
              <w:rPr>
                <w:rFonts w:ascii="黑体" w:eastAsia="黑体" w:hAnsi="黑体"/>
                <w:sz w:val="20"/>
              </w:rPr>
            </w:pPr>
            <w:r>
              <w:rPr>
                <w:rFonts w:ascii="黑体" w:eastAsia="黑体" w:hAnsi="黑体" w:hint="eastAsia"/>
                <w:sz w:val="20"/>
              </w:rPr>
              <w:t>注：W表示阵风的风力等级。</w:t>
            </w:r>
          </w:p>
        </w:tc>
      </w:tr>
    </w:tbl>
    <w:p w14:paraId="0D44E43A" w14:textId="77777777" w:rsidR="006E40F8" w:rsidRDefault="00320394">
      <w:pPr>
        <w:spacing w:beforeLines="50" w:before="156" w:afterLines="50" w:after="156"/>
        <w:ind w:firstLineChars="200" w:firstLine="420"/>
        <w:rPr>
          <w:rFonts w:ascii="黑体" w:eastAsia="黑体" w:hAnsi="黑体"/>
        </w:rPr>
      </w:pPr>
      <w:r>
        <w:rPr>
          <w:rFonts w:ascii="黑体" w:eastAsia="黑体" w:hAnsi="黑体" w:hint="eastAsia"/>
        </w:rPr>
        <w:t>注：以上气象要素值是指各级气象部门发布的气象预报值。</w:t>
      </w:r>
    </w:p>
    <w:bookmarkEnd w:id="15"/>
    <w:p w14:paraId="15BAB993"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t>五、采标情况</w:t>
      </w:r>
    </w:p>
    <w:p w14:paraId="02536341" w14:textId="77777777" w:rsidR="006E40F8" w:rsidRDefault="00320394">
      <w:pPr>
        <w:adjustRightInd w:val="0"/>
        <w:snapToGrid w:val="0"/>
        <w:spacing w:beforeLines="50" w:before="156" w:afterLines="50" w:after="156"/>
        <w:ind w:firstLineChars="196" w:firstLine="627"/>
        <w:jc w:val="left"/>
        <w:rPr>
          <w:rFonts w:ascii="黑体" w:eastAsia="黑体" w:hAnsi="黑体"/>
          <w:kern w:val="0"/>
          <w:sz w:val="32"/>
          <w:szCs w:val="32"/>
        </w:rPr>
      </w:pPr>
      <w:r>
        <w:rPr>
          <w:rFonts w:ascii="楷体" w:eastAsia="楷体" w:hAnsi="楷体" w:hint="eastAsia"/>
          <w:kern w:val="0"/>
          <w:sz w:val="32"/>
          <w:szCs w:val="32"/>
        </w:rPr>
        <w:t>（一）国内外标准情况</w:t>
      </w:r>
    </w:p>
    <w:p w14:paraId="2174B86E" w14:textId="44775BBD"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目前，无水上航运大风</w:t>
      </w:r>
      <w:r w:rsidR="0083416E">
        <w:rPr>
          <w:rFonts w:ascii="仿宋_GB2312" w:eastAsia="仿宋_GB2312" w:hint="eastAsia"/>
          <w:kern w:val="0"/>
          <w:sz w:val="32"/>
          <w:szCs w:val="32"/>
        </w:rPr>
        <w:t>气象风险分</w:t>
      </w:r>
      <w:r>
        <w:rPr>
          <w:rFonts w:ascii="仿宋_GB2312" w:eastAsia="仿宋_GB2312" w:hint="eastAsia"/>
          <w:kern w:val="0"/>
          <w:sz w:val="32"/>
          <w:szCs w:val="32"/>
        </w:rPr>
        <w:t>级规范的国家标准，可查的标准主要是部分行业标准和个别地方标准。如由中国气象局负责起草的气象行业标准《海上大风预警等级》（GB/</w:t>
      </w:r>
      <w:proofErr w:type="spellStart"/>
      <w:r>
        <w:rPr>
          <w:rFonts w:ascii="仿宋_GB2312" w:eastAsia="仿宋_GB2312" w:hint="eastAsia"/>
          <w:kern w:val="0"/>
          <w:sz w:val="32"/>
          <w:szCs w:val="32"/>
        </w:rPr>
        <w:t>T27958</w:t>
      </w:r>
      <w:proofErr w:type="spellEnd"/>
      <w:r>
        <w:rPr>
          <w:rFonts w:ascii="仿宋_GB2312" w:eastAsia="仿宋_GB2312" w:hint="eastAsia"/>
          <w:kern w:val="0"/>
          <w:sz w:val="32"/>
          <w:szCs w:val="32"/>
        </w:rPr>
        <w:t>—2011），由新疆维吾尔自治区气象局提出的《大风预警等级》（</w:t>
      </w:r>
      <w:proofErr w:type="spellStart"/>
      <w:r>
        <w:rPr>
          <w:rFonts w:ascii="仿宋_GB2312" w:eastAsia="仿宋_GB2312" w:hint="eastAsia"/>
          <w:kern w:val="0"/>
          <w:sz w:val="32"/>
          <w:szCs w:val="32"/>
        </w:rPr>
        <w:t>DB65</w:t>
      </w:r>
      <w:proofErr w:type="spellEnd"/>
      <w:r>
        <w:rPr>
          <w:rFonts w:ascii="仿宋_GB2312" w:eastAsia="仿宋_GB2312" w:hint="eastAsia"/>
          <w:kern w:val="0"/>
          <w:sz w:val="32"/>
          <w:szCs w:val="32"/>
        </w:rPr>
        <w:t>/T 4043-2017），由湖南省气象局提出的《水上交通气象灾害风险预警等级划分预评标准》（</w:t>
      </w:r>
      <w:proofErr w:type="spellStart"/>
      <w:r>
        <w:rPr>
          <w:rFonts w:ascii="仿宋_GB2312" w:eastAsia="仿宋_GB2312" w:hint="eastAsia"/>
          <w:kern w:val="0"/>
          <w:sz w:val="32"/>
          <w:szCs w:val="32"/>
        </w:rPr>
        <w:t>DB43</w:t>
      </w:r>
      <w:proofErr w:type="spellEnd"/>
      <w:r>
        <w:rPr>
          <w:rFonts w:ascii="仿宋_GB2312" w:eastAsia="仿宋_GB2312" w:hint="eastAsia"/>
          <w:kern w:val="0"/>
          <w:sz w:val="32"/>
          <w:szCs w:val="32"/>
        </w:rPr>
        <w:t>/T 2055—2021</w:t>
      </w:r>
      <w:r w:rsidR="0083416E">
        <w:rPr>
          <w:rFonts w:ascii="仿宋_GB2312" w:eastAsia="仿宋_GB2312" w:hint="eastAsia"/>
          <w:kern w:val="0"/>
          <w:sz w:val="32"/>
          <w:szCs w:val="32"/>
        </w:rPr>
        <w:t>），以上标准对编制水上航运大风气象风险分级规范有一定的参考和借鉴意义，但对于新形势新挑战下，</w:t>
      </w:r>
      <w:r>
        <w:rPr>
          <w:rFonts w:ascii="仿宋_GB2312" w:eastAsia="仿宋_GB2312" w:hint="eastAsia"/>
          <w:kern w:val="0"/>
          <w:sz w:val="32"/>
          <w:szCs w:val="32"/>
        </w:rPr>
        <w:t>大风气象灾害对水上航运安全的需求和高质量发展仍有一定差距。</w:t>
      </w:r>
    </w:p>
    <w:p w14:paraId="4A6E7BB9" w14:textId="3B112AE4" w:rsidR="006E40F8" w:rsidRDefault="00320394">
      <w:pPr>
        <w:snapToGrid w:val="0"/>
        <w:ind w:firstLineChars="200" w:firstLine="640"/>
        <w:rPr>
          <w:rFonts w:ascii="仿宋_GB2312" w:eastAsia="仿宋_GB2312"/>
          <w:kern w:val="0"/>
          <w:sz w:val="32"/>
          <w:szCs w:val="32"/>
        </w:rPr>
      </w:pPr>
      <w:r>
        <w:rPr>
          <w:rFonts w:ascii="仿宋_GB2312" w:eastAsia="仿宋_GB2312" w:hint="eastAsia"/>
          <w:kern w:val="0"/>
          <w:sz w:val="32"/>
          <w:szCs w:val="32"/>
        </w:rPr>
        <w:t>为满足南阳唐白河复航工程的战略需求,提高精细化气象服务要求,</w:t>
      </w:r>
      <w:r w:rsidR="0083416E">
        <w:rPr>
          <w:rFonts w:ascii="仿宋_GB2312" w:eastAsia="仿宋_GB2312" w:hint="eastAsia"/>
          <w:kern w:val="0"/>
          <w:sz w:val="32"/>
          <w:szCs w:val="32"/>
        </w:rPr>
        <w:t>制定水上航运大风气象</w:t>
      </w:r>
      <w:r>
        <w:rPr>
          <w:rFonts w:ascii="仿宋_GB2312" w:eastAsia="仿宋_GB2312" w:hint="eastAsia"/>
          <w:kern w:val="0"/>
          <w:sz w:val="32"/>
          <w:szCs w:val="32"/>
        </w:rPr>
        <w:t>风险</w:t>
      </w:r>
      <w:r w:rsidR="0083416E">
        <w:rPr>
          <w:rFonts w:ascii="仿宋_GB2312" w:eastAsia="仿宋_GB2312" w:hint="eastAsia"/>
          <w:kern w:val="0"/>
          <w:sz w:val="32"/>
          <w:szCs w:val="32"/>
        </w:rPr>
        <w:t>分</w:t>
      </w:r>
      <w:r>
        <w:rPr>
          <w:rFonts w:ascii="仿宋_GB2312" w:eastAsia="仿宋_GB2312" w:hint="eastAsia"/>
          <w:kern w:val="0"/>
          <w:sz w:val="32"/>
          <w:szCs w:val="32"/>
        </w:rPr>
        <w:t>级规范。2025年南阳市气象台提出并起草</w:t>
      </w:r>
      <w:r>
        <w:rPr>
          <w:rFonts w:ascii="仿宋_GB2312" w:eastAsia="仿宋_GB2312" w:hint="eastAsia"/>
          <w:bCs/>
          <w:kern w:val="0"/>
          <w:sz w:val="32"/>
          <w:szCs w:val="32"/>
        </w:rPr>
        <w:t>《水上航运大风</w:t>
      </w:r>
      <w:r w:rsidR="0083416E">
        <w:rPr>
          <w:rFonts w:ascii="仿宋_GB2312" w:eastAsia="仿宋_GB2312" w:hint="eastAsia"/>
          <w:bCs/>
          <w:kern w:val="0"/>
          <w:sz w:val="32"/>
          <w:szCs w:val="32"/>
        </w:rPr>
        <w:t>气象风险分</w:t>
      </w:r>
      <w:r>
        <w:rPr>
          <w:rFonts w:ascii="仿宋_GB2312" w:eastAsia="仿宋_GB2312" w:hint="eastAsia"/>
          <w:bCs/>
          <w:kern w:val="0"/>
          <w:sz w:val="32"/>
          <w:szCs w:val="32"/>
        </w:rPr>
        <w:t>级规范》。</w:t>
      </w:r>
    </w:p>
    <w:p w14:paraId="05F8AD1A" w14:textId="77777777" w:rsidR="006E40F8" w:rsidRDefault="00320394">
      <w:pPr>
        <w:adjustRightInd w:val="0"/>
        <w:snapToGrid w:val="0"/>
        <w:spacing w:beforeLines="50" w:before="156" w:afterLines="50" w:after="156"/>
        <w:ind w:firstLineChars="196" w:firstLine="627"/>
        <w:jc w:val="left"/>
        <w:rPr>
          <w:rFonts w:ascii="楷体" w:eastAsia="楷体" w:hAnsi="楷体"/>
          <w:kern w:val="0"/>
          <w:sz w:val="32"/>
          <w:szCs w:val="32"/>
        </w:rPr>
      </w:pPr>
      <w:r>
        <w:rPr>
          <w:rFonts w:ascii="楷体" w:eastAsia="楷体" w:hAnsi="楷体" w:hint="eastAsia"/>
          <w:kern w:val="0"/>
          <w:sz w:val="32"/>
          <w:szCs w:val="32"/>
        </w:rPr>
        <w:t>（二）采用的国际标准或国外先进标准编号及名称</w:t>
      </w:r>
      <w:r>
        <w:rPr>
          <w:rFonts w:ascii="楷体" w:eastAsia="楷体" w:hAnsi="楷体"/>
          <w:kern w:val="0"/>
          <w:sz w:val="32"/>
          <w:szCs w:val="32"/>
        </w:rPr>
        <w:tab/>
      </w:r>
    </w:p>
    <w:p w14:paraId="2BD93AE2" w14:textId="77777777" w:rsidR="006E40F8" w:rsidRPr="000A5B7E" w:rsidRDefault="00320394">
      <w:pPr>
        <w:adjustRightInd w:val="0"/>
        <w:snapToGrid w:val="0"/>
        <w:spacing w:beforeLines="50" w:before="156" w:afterLines="50" w:after="156"/>
        <w:ind w:firstLineChars="200" w:firstLine="640"/>
        <w:rPr>
          <w:rFonts w:ascii="仿宋_GB2312" w:eastAsia="仿宋_GB2312"/>
          <w:kern w:val="0"/>
          <w:sz w:val="32"/>
          <w:szCs w:val="32"/>
        </w:rPr>
      </w:pPr>
      <w:r w:rsidRPr="000A5B7E">
        <w:rPr>
          <w:rFonts w:ascii="仿宋_GB2312" w:eastAsia="仿宋_GB2312" w:hint="eastAsia"/>
          <w:kern w:val="0"/>
          <w:sz w:val="32"/>
          <w:szCs w:val="32"/>
        </w:rPr>
        <w:t>无</w:t>
      </w:r>
    </w:p>
    <w:p w14:paraId="56468880" w14:textId="77777777" w:rsidR="001D1E67" w:rsidRDefault="001D1E67">
      <w:pPr>
        <w:adjustRightInd w:val="0"/>
        <w:snapToGrid w:val="0"/>
        <w:spacing w:beforeLines="50" w:before="156" w:afterLines="50" w:after="156"/>
        <w:ind w:firstLineChars="200" w:firstLine="640"/>
        <w:rPr>
          <w:rFonts w:ascii="黑体" w:eastAsia="黑体" w:hAnsi="黑体"/>
          <w:kern w:val="0"/>
          <w:sz w:val="32"/>
          <w:szCs w:val="32"/>
        </w:rPr>
      </w:pPr>
    </w:p>
    <w:p w14:paraId="6AEF8CCF" w14:textId="77777777" w:rsidR="001D1E67" w:rsidRDefault="001D1E67">
      <w:pPr>
        <w:adjustRightInd w:val="0"/>
        <w:snapToGrid w:val="0"/>
        <w:spacing w:beforeLines="50" w:before="156" w:afterLines="50" w:after="156"/>
        <w:ind w:firstLineChars="200" w:firstLine="640"/>
        <w:rPr>
          <w:rFonts w:ascii="黑体" w:eastAsia="黑体" w:hAnsi="黑体"/>
          <w:kern w:val="0"/>
          <w:sz w:val="32"/>
          <w:szCs w:val="32"/>
        </w:rPr>
      </w:pPr>
    </w:p>
    <w:p w14:paraId="3DC1D40A"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lastRenderedPageBreak/>
        <w:t>六、重大意见分歧的处理</w:t>
      </w:r>
    </w:p>
    <w:p w14:paraId="0B8613F5" w14:textId="77777777" w:rsidR="006E40F8" w:rsidRDefault="00320394">
      <w:pPr>
        <w:adjustRightInd w:val="0"/>
        <w:snapToGrid w:val="0"/>
        <w:ind w:firstLineChars="200" w:firstLine="640"/>
        <w:rPr>
          <w:rFonts w:eastAsia="仿宋_GB2312"/>
          <w:kern w:val="0"/>
          <w:sz w:val="32"/>
          <w:szCs w:val="32"/>
        </w:rPr>
      </w:pPr>
      <w:r>
        <w:rPr>
          <w:rFonts w:eastAsia="仿宋_GB2312" w:hint="eastAsia"/>
          <w:kern w:val="0"/>
          <w:sz w:val="32"/>
          <w:szCs w:val="32"/>
        </w:rPr>
        <w:t>项目组成员围绕工作职责每月定期进行工作进展汇报和技术研讨，互相审查各自工作流程和结论，有意见分歧时，充分讨论，查阅相关资料或咨询行业专家，及时统一思路，形成确定性方案。</w:t>
      </w:r>
    </w:p>
    <w:p w14:paraId="08CD8A8B"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t>七、与国家法律法规和强制性标准的关系</w:t>
      </w:r>
    </w:p>
    <w:p w14:paraId="077D7424" w14:textId="77777777" w:rsidR="006E40F8" w:rsidRDefault="00320394">
      <w:pPr>
        <w:adjustRightInd w:val="0"/>
        <w:snapToGrid w:val="0"/>
        <w:ind w:firstLineChars="200" w:firstLine="640"/>
        <w:jc w:val="left"/>
        <w:rPr>
          <w:rFonts w:eastAsia="仿宋_GB2312"/>
          <w:kern w:val="0"/>
          <w:sz w:val="32"/>
          <w:szCs w:val="32"/>
        </w:rPr>
      </w:pPr>
      <w:r>
        <w:rPr>
          <w:rFonts w:eastAsia="仿宋_GB2312" w:hint="eastAsia"/>
          <w:kern w:val="0"/>
          <w:sz w:val="32"/>
          <w:szCs w:val="32"/>
        </w:rPr>
        <w:t>无与国家法律法规和强制性标准矛盾的现象。</w:t>
      </w:r>
    </w:p>
    <w:p w14:paraId="13EC9E4D"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t>八、标准实施的建议</w:t>
      </w:r>
    </w:p>
    <w:p w14:paraId="0FD39586" w14:textId="77777777" w:rsidR="006E40F8" w:rsidRDefault="00320394">
      <w:pPr>
        <w:adjustRightInd w:val="0"/>
        <w:snapToGrid w:val="0"/>
        <w:ind w:firstLineChars="200" w:firstLine="640"/>
        <w:jc w:val="left"/>
        <w:rPr>
          <w:rFonts w:eastAsia="仿宋_GB2312"/>
          <w:kern w:val="0"/>
          <w:sz w:val="32"/>
          <w:szCs w:val="32"/>
        </w:rPr>
      </w:pPr>
      <w:r>
        <w:rPr>
          <w:rFonts w:eastAsia="仿宋_GB2312" w:hint="eastAsia"/>
          <w:kern w:val="0"/>
          <w:sz w:val="32"/>
          <w:szCs w:val="32"/>
        </w:rPr>
        <w:t>本标准通过审查后，建议作为推荐性标准发布实施</w:t>
      </w:r>
    </w:p>
    <w:p w14:paraId="21C74022" w14:textId="77777777" w:rsidR="006E40F8" w:rsidRDefault="00320394">
      <w:pPr>
        <w:adjustRightInd w:val="0"/>
        <w:snapToGrid w:val="0"/>
        <w:spacing w:beforeLines="50" w:before="156" w:afterLines="50" w:after="156"/>
        <w:ind w:firstLineChars="200" w:firstLine="640"/>
        <w:rPr>
          <w:rFonts w:ascii="黑体" w:eastAsia="黑体" w:hAnsi="黑体"/>
          <w:kern w:val="0"/>
          <w:sz w:val="32"/>
          <w:szCs w:val="32"/>
        </w:rPr>
      </w:pPr>
      <w:r>
        <w:rPr>
          <w:rFonts w:ascii="黑体" w:eastAsia="黑体" w:hAnsi="黑体" w:hint="eastAsia"/>
          <w:kern w:val="0"/>
          <w:sz w:val="32"/>
          <w:szCs w:val="32"/>
        </w:rPr>
        <w:t>九、其他应予说明的事项。</w:t>
      </w:r>
    </w:p>
    <w:p w14:paraId="3F3A3B82" w14:textId="77777777" w:rsidR="006E40F8" w:rsidRDefault="00320394">
      <w:pPr>
        <w:adjustRightInd w:val="0"/>
        <w:snapToGrid w:val="0"/>
        <w:ind w:firstLineChars="196" w:firstLine="588"/>
        <w:jc w:val="left"/>
        <w:rPr>
          <w:rFonts w:ascii="仿宋_GB2312" w:eastAsia="仿宋_GB2312"/>
          <w:kern w:val="0"/>
          <w:sz w:val="30"/>
          <w:szCs w:val="30"/>
        </w:rPr>
      </w:pPr>
      <w:r>
        <w:rPr>
          <w:rFonts w:ascii="仿宋_GB2312" w:eastAsia="仿宋_GB2312" w:hint="eastAsia"/>
          <w:kern w:val="0"/>
          <w:sz w:val="30"/>
          <w:szCs w:val="30"/>
        </w:rPr>
        <w:t>暂无</w:t>
      </w:r>
    </w:p>
    <w:p w14:paraId="71E06B16"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49791145"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44985BA8"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0077449E"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02F9DA23" w14:textId="77777777" w:rsidR="001D1E67" w:rsidRDefault="001D1E67" w:rsidP="00320394">
      <w:pPr>
        <w:adjustRightInd w:val="0"/>
        <w:snapToGrid w:val="0"/>
        <w:ind w:firstLineChars="196" w:firstLine="588"/>
        <w:jc w:val="left"/>
        <w:rPr>
          <w:rFonts w:ascii="仿宋_GB2312" w:eastAsia="仿宋_GB2312"/>
          <w:kern w:val="0"/>
          <w:sz w:val="30"/>
          <w:szCs w:val="30"/>
        </w:rPr>
      </w:pPr>
    </w:p>
    <w:p w14:paraId="7A9013BF"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045288FE"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240122D6" w14:textId="77777777" w:rsidR="00320394" w:rsidRDefault="00320394" w:rsidP="00320394">
      <w:pPr>
        <w:adjustRightInd w:val="0"/>
        <w:snapToGrid w:val="0"/>
        <w:ind w:firstLineChars="196" w:firstLine="588"/>
        <w:jc w:val="left"/>
        <w:rPr>
          <w:rFonts w:ascii="仿宋_GB2312" w:eastAsia="仿宋_GB2312"/>
          <w:kern w:val="0"/>
          <w:sz w:val="30"/>
          <w:szCs w:val="30"/>
        </w:rPr>
      </w:pPr>
    </w:p>
    <w:p w14:paraId="19CAEB0D" w14:textId="67744891" w:rsidR="00320394" w:rsidRPr="00F3740C" w:rsidRDefault="00320394" w:rsidP="00320394">
      <w:pPr>
        <w:snapToGrid w:val="0"/>
        <w:spacing w:line="300" w:lineRule="auto"/>
        <w:ind w:firstLineChars="200" w:firstLine="640"/>
        <w:jc w:val="right"/>
        <w:rPr>
          <w:rFonts w:ascii="仿宋_GB2312" w:eastAsia="仿宋_GB2312" w:hAnsi="宋体"/>
          <w:sz w:val="32"/>
          <w:szCs w:val="32"/>
        </w:rPr>
      </w:pPr>
      <w:r w:rsidRPr="00F3740C">
        <w:rPr>
          <w:rFonts w:ascii="仿宋_GB2312" w:eastAsia="仿宋_GB2312" w:hAnsi="宋体" w:hint="eastAsia"/>
          <w:sz w:val="32"/>
          <w:szCs w:val="32"/>
        </w:rPr>
        <w:t>《</w:t>
      </w:r>
      <w:r w:rsidRPr="00320394">
        <w:rPr>
          <w:rFonts w:ascii="仿宋_GB2312" w:eastAsia="仿宋_GB2312" w:hint="eastAsia"/>
          <w:kern w:val="0"/>
          <w:sz w:val="32"/>
          <w:szCs w:val="32"/>
        </w:rPr>
        <w:t>水上航运大风</w:t>
      </w:r>
      <w:r w:rsidR="0083416E">
        <w:rPr>
          <w:rFonts w:ascii="仿宋_GB2312" w:eastAsia="仿宋_GB2312" w:hint="eastAsia"/>
          <w:kern w:val="0"/>
          <w:sz w:val="32"/>
          <w:szCs w:val="32"/>
        </w:rPr>
        <w:t>气象风险分</w:t>
      </w:r>
      <w:r w:rsidRPr="00320394">
        <w:rPr>
          <w:rFonts w:ascii="仿宋_GB2312" w:eastAsia="仿宋_GB2312" w:hint="eastAsia"/>
          <w:kern w:val="0"/>
          <w:sz w:val="32"/>
          <w:szCs w:val="32"/>
        </w:rPr>
        <w:t>级规范</w:t>
      </w:r>
      <w:r w:rsidRPr="00F3740C">
        <w:rPr>
          <w:rFonts w:ascii="仿宋_GB2312" w:eastAsia="仿宋_GB2312" w:hAnsi="宋体" w:hint="eastAsia"/>
          <w:sz w:val="32"/>
          <w:szCs w:val="32"/>
        </w:rPr>
        <w:t>》标准起草小组</w:t>
      </w:r>
    </w:p>
    <w:p w14:paraId="18A81409" w14:textId="6071953E" w:rsidR="00320394" w:rsidRPr="00F3740C" w:rsidRDefault="00320394" w:rsidP="00320394">
      <w:pPr>
        <w:snapToGrid w:val="0"/>
        <w:spacing w:line="300" w:lineRule="auto"/>
        <w:ind w:firstLineChars="200" w:firstLine="640"/>
        <w:rPr>
          <w:rFonts w:ascii="仿宋_GB2312" w:eastAsia="仿宋_GB2312" w:hAnsi="宋体"/>
          <w:sz w:val="32"/>
          <w:szCs w:val="32"/>
        </w:rPr>
      </w:pPr>
      <w:r w:rsidRPr="00F3740C">
        <w:rPr>
          <w:rFonts w:ascii="仿宋_GB2312" w:eastAsia="仿宋_GB2312" w:hAnsi="宋体" w:hint="eastAsia"/>
          <w:sz w:val="32"/>
          <w:szCs w:val="32"/>
        </w:rPr>
        <w:t xml:space="preserve">               </w:t>
      </w:r>
      <w:r>
        <w:rPr>
          <w:rFonts w:ascii="仿宋_GB2312" w:eastAsia="仿宋_GB2312" w:hAnsi="宋体"/>
          <w:sz w:val="32"/>
          <w:szCs w:val="32"/>
        </w:rPr>
        <w:t xml:space="preserve">           </w:t>
      </w:r>
      <w:r w:rsidRPr="00F3740C">
        <w:rPr>
          <w:rFonts w:ascii="仿宋_GB2312" w:eastAsia="仿宋_GB2312" w:hAnsi="宋体" w:hint="eastAsia"/>
          <w:sz w:val="32"/>
          <w:szCs w:val="32"/>
        </w:rPr>
        <w:t>202</w:t>
      </w:r>
      <w:r>
        <w:rPr>
          <w:rFonts w:ascii="仿宋_GB2312" w:eastAsia="仿宋_GB2312" w:hAnsi="宋体"/>
          <w:sz w:val="32"/>
          <w:szCs w:val="32"/>
        </w:rPr>
        <w:t>5</w:t>
      </w:r>
      <w:r w:rsidRPr="00F3740C">
        <w:rPr>
          <w:rFonts w:ascii="仿宋_GB2312" w:eastAsia="仿宋_GB2312" w:hAnsi="宋体" w:hint="eastAsia"/>
          <w:sz w:val="32"/>
          <w:szCs w:val="32"/>
        </w:rPr>
        <w:t>年6月</w:t>
      </w:r>
      <w:r>
        <w:rPr>
          <w:rFonts w:ascii="仿宋_GB2312" w:eastAsia="仿宋_GB2312" w:hAnsi="宋体"/>
          <w:sz w:val="32"/>
          <w:szCs w:val="32"/>
        </w:rPr>
        <w:t>1</w:t>
      </w:r>
      <w:r>
        <w:rPr>
          <w:rFonts w:ascii="仿宋_GB2312" w:eastAsia="仿宋_GB2312" w:hAnsi="宋体" w:hint="eastAsia"/>
          <w:sz w:val="32"/>
          <w:szCs w:val="32"/>
        </w:rPr>
        <w:t>2</w:t>
      </w:r>
      <w:r w:rsidRPr="00F3740C">
        <w:rPr>
          <w:rFonts w:ascii="仿宋_GB2312" w:eastAsia="仿宋_GB2312" w:hAnsi="宋体" w:hint="eastAsia"/>
          <w:sz w:val="32"/>
          <w:szCs w:val="32"/>
        </w:rPr>
        <w:t>日</w:t>
      </w:r>
    </w:p>
    <w:p w14:paraId="5AA2274F" w14:textId="77777777" w:rsidR="00320394" w:rsidRDefault="00320394" w:rsidP="00320394">
      <w:pPr>
        <w:adjustRightInd w:val="0"/>
        <w:snapToGrid w:val="0"/>
        <w:ind w:firstLineChars="196" w:firstLine="549"/>
        <w:jc w:val="left"/>
        <w:rPr>
          <w:rFonts w:ascii="仿宋_GB2312" w:eastAsia="仿宋_GB2312"/>
          <w:kern w:val="0"/>
          <w:sz w:val="28"/>
          <w:szCs w:val="28"/>
        </w:rPr>
      </w:pPr>
    </w:p>
    <w:sectPr w:rsidR="00320394">
      <w:headerReference w:type="default" r:id="rId7"/>
      <w:footerReference w:type="even" r:id="rId8"/>
      <w:footerReference w:type="default" r:id="rId9"/>
      <w:footerReference w:type="firs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196C3" w14:textId="77777777" w:rsidR="0090043F" w:rsidRDefault="00320394">
      <w:r>
        <w:separator/>
      </w:r>
    </w:p>
  </w:endnote>
  <w:endnote w:type="continuationSeparator" w:id="0">
    <w:p w14:paraId="14F1794E" w14:textId="77777777" w:rsidR="0090043F" w:rsidRDefault="0032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549B5" w14:textId="77777777" w:rsidR="006E40F8" w:rsidRDefault="006E40F8">
    <w:pPr>
      <w:pStyle w:val="a4"/>
      <w:ind w:right="2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6660F" w14:textId="77777777" w:rsidR="006E40F8" w:rsidRDefault="006E40F8">
    <w:pPr>
      <w:pStyle w:val="a4"/>
      <w:ind w:right="2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7C07F" w14:textId="77777777" w:rsidR="006E40F8" w:rsidRDefault="006E40F8">
    <w:pPr>
      <w:pStyle w:val="a4"/>
      <w:ind w:right="2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5D495" w14:textId="77777777" w:rsidR="0090043F" w:rsidRDefault="00320394">
      <w:r>
        <w:separator/>
      </w:r>
    </w:p>
  </w:footnote>
  <w:footnote w:type="continuationSeparator" w:id="0">
    <w:p w14:paraId="247F5C6F" w14:textId="77777777" w:rsidR="0090043F" w:rsidRDefault="00320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B608A" w14:textId="77777777" w:rsidR="006E40F8" w:rsidRDefault="006E40F8">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NGFkYmM4MDgwYzJiNGRiNzE0NjIyNTE1NTQ1NmYifQ=="/>
  </w:docVars>
  <w:rsids>
    <w:rsidRoot w:val="00172A27"/>
    <w:rsid w:val="00010E6C"/>
    <w:rsid w:val="00033EFA"/>
    <w:rsid w:val="00051C41"/>
    <w:rsid w:val="00066FE8"/>
    <w:rsid w:val="0008465D"/>
    <w:rsid w:val="000950B7"/>
    <w:rsid w:val="000A5B7E"/>
    <w:rsid w:val="000A7104"/>
    <w:rsid w:val="000B7FB4"/>
    <w:rsid w:val="000C6321"/>
    <w:rsid w:val="000E3AA6"/>
    <w:rsid w:val="000F3872"/>
    <w:rsid w:val="00105D6B"/>
    <w:rsid w:val="00117A59"/>
    <w:rsid w:val="00121FB1"/>
    <w:rsid w:val="00144DEE"/>
    <w:rsid w:val="00145CCA"/>
    <w:rsid w:val="0014749B"/>
    <w:rsid w:val="00172A27"/>
    <w:rsid w:val="001C6EB8"/>
    <w:rsid w:val="001D12A2"/>
    <w:rsid w:val="001D1E67"/>
    <w:rsid w:val="001D3112"/>
    <w:rsid w:val="001E105F"/>
    <w:rsid w:val="001F19F4"/>
    <w:rsid w:val="00222AF0"/>
    <w:rsid w:val="00234838"/>
    <w:rsid w:val="002A164C"/>
    <w:rsid w:val="002A2F42"/>
    <w:rsid w:val="003144FD"/>
    <w:rsid w:val="00320394"/>
    <w:rsid w:val="00377335"/>
    <w:rsid w:val="00386303"/>
    <w:rsid w:val="0039406F"/>
    <w:rsid w:val="003B0091"/>
    <w:rsid w:val="003D389A"/>
    <w:rsid w:val="003E53A2"/>
    <w:rsid w:val="004076C2"/>
    <w:rsid w:val="00412B39"/>
    <w:rsid w:val="004276FB"/>
    <w:rsid w:val="0044208F"/>
    <w:rsid w:val="00447520"/>
    <w:rsid w:val="00447753"/>
    <w:rsid w:val="00455788"/>
    <w:rsid w:val="00463390"/>
    <w:rsid w:val="004A24BB"/>
    <w:rsid w:val="004A48C1"/>
    <w:rsid w:val="004A6FC4"/>
    <w:rsid w:val="004C3636"/>
    <w:rsid w:val="004D6825"/>
    <w:rsid w:val="004E4240"/>
    <w:rsid w:val="004F5629"/>
    <w:rsid w:val="00500B3A"/>
    <w:rsid w:val="0050453F"/>
    <w:rsid w:val="00537B65"/>
    <w:rsid w:val="005579E6"/>
    <w:rsid w:val="00567689"/>
    <w:rsid w:val="005678EC"/>
    <w:rsid w:val="0057770B"/>
    <w:rsid w:val="0058767A"/>
    <w:rsid w:val="005B146A"/>
    <w:rsid w:val="005E3550"/>
    <w:rsid w:val="005F0E10"/>
    <w:rsid w:val="00603E9E"/>
    <w:rsid w:val="00625D1F"/>
    <w:rsid w:val="00634987"/>
    <w:rsid w:val="00655C95"/>
    <w:rsid w:val="00682F37"/>
    <w:rsid w:val="00687383"/>
    <w:rsid w:val="006A2236"/>
    <w:rsid w:val="006B6E90"/>
    <w:rsid w:val="006C7837"/>
    <w:rsid w:val="006D25A0"/>
    <w:rsid w:val="006D2E61"/>
    <w:rsid w:val="006E40F8"/>
    <w:rsid w:val="007072D1"/>
    <w:rsid w:val="007177BB"/>
    <w:rsid w:val="00722246"/>
    <w:rsid w:val="007421D4"/>
    <w:rsid w:val="00743C7B"/>
    <w:rsid w:val="00752960"/>
    <w:rsid w:val="00757102"/>
    <w:rsid w:val="00786703"/>
    <w:rsid w:val="007910B2"/>
    <w:rsid w:val="007A3003"/>
    <w:rsid w:val="007E2D61"/>
    <w:rsid w:val="00807C83"/>
    <w:rsid w:val="008213E3"/>
    <w:rsid w:val="00823E8B"/>
    <w:rsid w:val="00832D39"/>
    <w:rsid w:val="0083416E"/>
    <w:rsid w:val="008376CF"/>
    <w:rsid w:val="008377B0"/>
    <w:rsid w:val="0085636B"/>
    <w:rsid w:val="00866EF4"/>
    <w:rsid w:val="008B715A"/>
    <w:rsid w:val="008C45DD"/>
    <w:rsid w:val="008D5B9F"/>
    <w:rsid w:val="008E0082"/>
    <w:rsid w:val="0090043F"/>
    <w:rsid w:val="00916321"/>
    <w:rsid w:val="00920DB4"/>
    <w:rsid w:val="00925502"/>
    <w:rsid w:val="009322EB"/>
    <w:rsid w:val="009427CA"/>
    <w:rsid w:val="00962C54"/>
    <w:rsid w:val="00986149"/>
    <w:rsid w:val="00990BB0"/>
    <w:rsid w:val="00994AE7"/>
    <w:rsid w:val="0099605B"/>
    <w:rsid w:val="009B30C9"/>
    <w:rsid w:val="009D6134"/>
    <w:rsid w:val="009E75AE"/>
    <w:rsid w:val="009F3C1D"/>
    <w:rsid w:val="009F79F6"/>
    <w:rsid w:val="00A02E3C"/>
    <w:rsid w:val="00A06828"/>
    <w:rsid w:val="00A447F7"/>
    <w:rsid w:val="00A45B43"/>
    <w:rsid w:val="00A566BF"/>
    <w:rsid w:val="00A61965"/>
    <w:rsid w:val="00A666F8"/>
    <w:rsid w:val="00A66BD7"/>
    <w:rsid w:val="00A86F73"/>
    <w:rsid w:val="00AA19B9"/>
    <w:rsid w:val="00AD1F00"/>
    <w:rsid w:val="00AD59FB"/>
    <w:rsid w:val="00AE62BC"/>
    <w:rsid w:val="00B05AAF"/>
    <w:rsid w:val="00B15BBA"/>
    <w:rsid w:val="00B176C0"/>
    <w:rsid w:val="00B429B7"/>
    <w:rsid w:val="00B565E4"/>
    <w:rsid w:val="00B63B90"/>
    <w:rsid w:val="00B67C8A"/>
    <w:rsid w:val="00B80612"/>
    <w:rsid w:val="00B8614D"/>
    <w:rsid w:val="00BA420A"/>
    <w:rsid w:val="00BB6B5A"/>
    <w:rsid w:val="00BB72DC"/>
    <w:rsid w:val="00BC3F8A"/>
    <w:rsid w:val="00BC4CD3"/>
    <w:rsid w:val="00BD11D9"/>
    <w:rsid w:val="00BE4B3E"/>
    <w:rsid w:val="00BF1DD1"/>
    <w:rsid w:val="00BF670E"/>
    <w:rsid w:val="00BF6863"/>
    <w:rsid w:val="00C02878"/>
    <w:rsid w:val="00C140F5"/>
    <w:rsid w:val="00C14D97"/>
    <w:rsid w:val="00C34D84"/>
    <w:rsid w:val="00C438E8"/>
    <w:rsid w:val="00C73B1B"/>
    <w:rsid w:val="00C76540"/>
    <w:rsid w:val="00C80CAE"/>
    <w:rsid w:val="00C95931"/>
    <w:rsid w:val="00CA6F92"/>
    <w:rsid w:val="00CB1CC5"/>
    <w:rsid w:val="00CC016D"/>
    <w:rsid w:val="00CC1C29"/>
    <w:rsid w:val="00CE0ADF"/>
    <w:rsid w:val="00D22923"/>
    <w:rsid w:val="00D34E3E"/>
    <w:rsid w:val="00D35B89"/>
    <w:rsid w:val="00D47BAA"/>
    <w:rsid w:val="00D51F56"/>
    <w:rsid w:val="00D54C42"/>
    <w:rsid w:val="00D65DE1"/>
    <w:rsid w:val="00D91190"/>
    <w:rsid w:val="00DA01F3"/>
    <w:rsid w:val="00DA2398"/>
    <w:rsid w:val="00DA75A1"/>
    <w:rsid w:val="00DB3835"/>
    <w:rsid w:val="00DB50ED"/>
    <w:rsid w:val="00E00B8F"/>
    <w:rsid w:val="00E03790"/>
    <w:rsid w:val="00E12EA7"/>
    <w:rsid w:val="00E30046"/>
    <w:rsid w:val="00E3677F"/>
    <w:rsid w:val="00E41C51"/>
    <w:rsid w:val="00E55752"/>
    <w:rsid w:val="00E56ED0"/>
    <w:rsid w:val="00E61AA0"/>
    <w:rsid w:val="00E64F86"/>
    <w:rsid w:val="00E778DF"/>
    <w:rsid w:val="00E77C0C"/>
    <w:rsid w:val="00E85D83"/>
    <w:rsid w:val="00E86409"/>
    <w:rsid w:val="00E908B2"/>
    <w:rsid w:val="00E97482"/>
    <w:rsid w:val="00E97563"/>
    <w:rsid w:val="00E97E36"/>
    <w:rsid w:val="00EA6593"/>
    <w:rsid w:val="00ED79C9"/>
    <w:rsid w:val="00EE0A86"/>
    <w:rsid w:val="00F027F1"/>
    <w:rsid w:val="00F43863"/>
    <w:rsid w:val="00F54EAD"/>
    <w:rsid w:val="00F5634E"/>
    <w:rsid w:val="00F81D1A"/>
    <w:rsid w:val="00F87BC5"/>
    <w:rsid w:val="00FB37D5"/>
    <w:rsid w:val="00FB41C2"/>
    <w:rsid w:val="03CA4BC5"/>
    <w:rsid w:val="07D63618"/>
    <w:rsid w:val="089E0931"/>
    <w:rsid w:val="108D755A"/>
    <w:rsid w:val="1205799E"/>
    <w:rsid w:val="1448764C"/>
    <w:rsid w:val="16A65888"/>
    <w:rsid w:val="18A10AF7"/>
    <w:rsid w:val="18ED3174"/>
    <w:rsid w:val="1E140EE8"/>
    <w:rsid w:val="1E345B9A"/>
    <w:rsid w:val="1EAE7A62"/>
    <w:rsid w:val="21FB6412"/>
    <w:rsid w:val="24404E85"/>
    <w:rsid w:val="2892519F"/>
    <w:rsid w:val="2AE40E6C"/>
    <w:rsid w:val="2F78636C"/>
    <w:rsid w:val="2FDC6090"/>
    <w:rsid w:val="30127848"/>
    <w:rsid w:val="30401638"/>
    <w:rsid w:val="323A05CE"/>
    <w:rsid w:val="341D068F"/>
    <w:rsid w:val="34F62570"/>
    <w:rsid w:val="385C760C"/>
    <w:rsid w:val="39581830"/>
    <w:rsid w:val="3AD60D98"/>
    <w:rsid w:val="3B782B1F"/>
    <w:rsid w:val="3EE14075"/>
    <w:rsid w:val="401A063A"/>
    <w:rsid w:val="45A87057"/>
    <w:rsid w:val="4B95791A"/>
    <w:rsid w:val="4D92091A"/>
    <w:rsid w:val="4F6F5A42"/>
    <w:rsid w:val="527B4D43"/>
    <w:rsid w:val="54CE74AF"/>
    <w:rsid w:val="56687250"/>
    <w:rsid w:val="57B97E77"/>
    <w:rsid w:val="68FE744E"/>
    <w:rsid w:val="74E25FFB"/>
    <w:rsid w:val="77CC7198"/>
    <w:rsid w:val="78312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qFormat/>
    <w:pPr>
      <w:snapToGrid w:val="0"/>
      <w:ind w:rightChars="100" w:right="100"/>
      <w:jc w:val="righ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7">
    <w:name w:val="page number"/>
    <w:qFormat/>
  </w:style>
  <w:style w:type="character" w:styleId="a8">
    <w:name w:val="Hyperlink"/>
    <w:rPr>
      <w:color w:val="0000FF"/>
      <w:u w:val="single"/>
    </w:rPr>
  </w:style>
  <w:style w:type="paragraph" w:customStyle="1" w:styleId="a9">
    <w:name w:val="封面标准名称"/>
    <w:pPr>
      <w:widowControl w:val="0"/>
      <w:spacing w:line="680" w:lineRule="exact"/>
      <w:jc w:val="center"/>
      <w:textAlignment w:val="center"/>
    </w:pPr>
    <w:rPr>
      <w:rFonts w:ascii="黑体" w:eastAsia="黑体"/>
      <w:sz w:val="52"/>
    </w:rPr>
  </w:style>
  <w:style w:type="paragraph" w:customStyle="1" w:styleId="aa">
    <w:name w:val="封面标准英文名称"/>
    <w:qFormat/>
    <w:pPr>
      <w:spacing w:before="370" w:line="400" w:lineRule="exact"/>
    </w:pPr>
    <w:rPr>
      <w:sz w:val="28"/>
      <w:szCs w:val="28"/>
    </w:rPr>
  </w:style>
  <w:style w:type="paragraph" w:customStyle="1" w:styleId="reader-word-layerreader-word-s7-1">
    <w:name w:val="reader-word-layer reader-word-s7-1"/>
    <w:basedOn w:val="a"/>
    <w:pPr>
      <w:widowControl/>
      <w:spacing w:before="100" w:beforeAutospacing="1" w:after="100" w:afterAutospacing="1"/>
      <w:jc w:val="left"/>
    </w:pPr>
    <w:rPr>
      <w:rFonts w:ascii="宋体" w:hAnsi="宋体" w:cs="宋体"/>
      <w:kern w:val="0"/>
      <w:sz w:val="24"/>
    </w:rPr>
  </w:style>
  <w:style w:type="paragraph" w:customStyle="1" w:styleId="ab">
    <w:name w:val="段"/>
    <w:link w:val="Char"/>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Char">
    <w:name w:val="段 Char"/>
    <w:link w:val="ab"/>
    <w:qFormat/>
    <w:rPr>
      <w:rFonts w:ascii="宋体"/>
      <w:sz w:val="21"/>
      <w:szCs w:val="22"/>
    </w:rPr>
  </w:style>
  <w:style w:type="character" w:customStyle="1" w:styleId="NormalCharacter">
    <w:name w:val="NormalCharacter"/>
    <w:semiHidden/>
    <w:qFormat/>
  </w:style>
  <w:style w:type="paragraph" w:customStyle="1" w:styleId="ac">
    <w:name w:val="一级条标题"/>
    <w:next w:val="ab"/>
    <w:pPr>
      <w:spacing w:beforeLines="50" w:before="156" w:afterLines="50" w:after="156"/>
      <w:outlineLvl w:val="2"/>
    </w:pPr>
    <w:rPr>
      <w:rFonts w:ascii="黑体" w:eastAsia="黑体"/>
      <w:sz w:val="21"/>
      <w:szCs w:val="21"/>
    </w:rPr>
  </w:style>
  <w:style w:type="paragraph" w:customStyle="1" w:styleId="ad">
    <w:name w:val="章标题"/>
    <w:next w:val="ab"/>
    <w:qFormat/>
    <w:pPr>
      <w:spacing w:beforeLines="100" w:before="312" w:afterLines="100" w:after="312"/>
      <w:jc w:val="both"/>
      <w:outlineLvl w:val="1"/>
    </w:pPr>
    <w:rPr>
      <w:rFonts w:ascii="黑体" w:eastAsia="黑体"/>
      <w:sz w:val="21"/>
    </w:rPr>
  </w:style>
  <w:style w:type="paragraph" w:customStyle="1" w:styleId="ae">
    <w:name w:val="标准文件_段"/>
    <w:link w:val="Char0"/>
    <w:pPr>
      <w:autoSpaceDE w:val="0"/>
      <w:autoSpaceDN w:val="0"/>
      <w:ind w:firstLineChars="200" w:firstLine="200"/>
      <w:jc w:val="both"/>
    </w:pPr>
    <w:rPr>
      <w:rFonts w:ascii="宋体"/>
      <w:sz w:val="21"/>
    </w:rPr>
  </w:style>
  <w:style w:type="character" w:customStyle="1" w:styleId="Char0">
    <w:name w:val="标准文件_段 Char"/>
    <w:link w:val="ae"/>
    <w:qFormat/>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qFormat/>
    <w:pPr>
      <w:snapToGrid w:val="0"/>
      <w:ind w:rightChars="100" w:right="100"/>
      <w:jc w:val="righ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7">
    <w:name w:val="page number"/>
    <w:qFormat/>
  </w:style>
  <w:style w:type="character" w:styleId="a8">
    <w:name w:val="Hyperlink"/>
    <w:rPr>
      <w:color w:val="0000FF"/>
      <w:u w:val="single"/>
    </w:rPr>
  </w:style>
  <w:style w:type="paragraph" w:customStyle="1" w:styleId="a9">
    <w:name w:val="封面标准名称"/>
    <w:pPr>
      <w:widowControl w:val="0"/>
      <w:spacing w:line="680" w:lineRule="exact"/>
      <w:jc w:val="center"/>
      <w:textAlignment w:val="center"/>
    </w:pPr>
    <w:rPr>
      <w:rFonts w:ascii="黑体" w:eastAsia="黑体"/>
      <w:sz w:val="52"/>
    </w:rPr>
  </w:style>
  <w:style w:type="paragraph" w:customStyle="1" w:styleId="aa">
    <w:name w:val="封面标准英文名称"/>
    <w:qFormat/>
    <w:pPr>
      <w:spacing w:before="370" w:line="400" w:lineRule="exact"/>
    </w:pPr>
    <w:rPr>
      <w:sz w:val="28"/>
      <w:szCs w:val="28"/>
    </w:rPr>
  </w:style>
  <w:style w:type="paragraph" w:customStyle="1" w:styleId="reader-word-layerreader-word-s7-1">
    <w:name w:val="reader-word-layer reader-word-s7-1"/>
    <w:basedOn w:val="a"/>
    <w:pPr>
      <w:widowControl/>
      <w:spacing w:before="100" w:beforeAutospacing="1" w:after="100" w:afterAutospacing="1"/>
      <w:jc w:val="left"/>
    </w:pPr>
    <w:rPr>
      <w:rFonts w:ascii="宋体" w:hAnsi="宋体" w:cs="宋体"/>
      <w:kern w:val="0"/>
      <w:sz w:val="24"/>
    </w:rPr>
  </w:style>
  <w:style w:type="paragraph" w:customStyle="1" w:styleId="ab">
    <w:name w:val="段"/>
    <w:link w:val="Char"/>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Char">
    <w:name w:val="段 Char"/>
    <w:link w:val="ab"/>
    <w:qFormat/>
    <w:rPr>
      <w:rFonts w:ascii="宋体"/>
      <w:sz w:val="21"/>
      <w:szCs w:val="22"/>
    </w:rPr>
  </w:style>
  <w:style w:type="character" w:customStyle="1" w:styleId="NormalCharacter">
    <w:name w:val="NormalCharacter"/>
    <w:semiHidden/>
    <w:qFormat/>
  </w:style>
  <w:style w:type="paragraph" w:customStyle="1" w:styleId="ac">
    <w:name w:val="一级条标题"/>
    <w:next w:val="ab"/>
    <w:pPr>
      <w:spacing w:beforeLines="50" w:before="156" w:afterLines="50" w:after="156"/>
      <w:outlineLvl w:val="2"/>
    </w:pPr>
    <w:rPr>
      <w:rFonts w:ascii="黑体" w:eastAsia="黑体"/>
      <w:sz w:val="21"/>
      <w:szCs w:val="21"/>
    </w:rPr>
  </w:style>
  <w:style w:type="paragraph" w:customStyle="1" w:styleId="ad">
    <w:name w:val="章标题"/>
    <w:next w:val="ab"/>
    <w:qFormat/>
    <w:pPr>
      <w:spacing w:beforeLines="100" w:before="312" w:afterLines="100" w:after="312"/>
      <w:jc w:val="both"/>
      <w:outlineLvl w:val="1"/>
    </w:pPr>
    <w:rPr>
      <w:rFonts w:ascii="黑体" w:eastAsia="黑体"/>
      <w:sz w:val="21"/>
    </w:rPr>
  </w:style>
  <w:style w:type="paragraph" w:customStyle="1" w:styleId="ae">
    <w:name w:val="标准文件_段"/>
    <w:link w:val="Char0"/>
    <w:pPr>
      <w:autoSpaceDE w:val="0"/>
      <w:autoSpaceDN w:val="0"/>
      <w:ind w:firstLineChars="200" w:firstLine="200"/>
      <w:jc w:val="both"/>
    </w:pPr>
    <w:rPr>
      <w:rFonts w:ascii="宋体"/>
      <w:sz w:val="21"/>
    </w:rPr>
  </w:style>
  <w:style w:type="character" w:customStyle="1" w:styleId="Char0">
    <w:name w:val="标准文件_段 Char"/>
    <w:link w:val="ae"/>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3313</Words>
  <Characters>447</Characters>
  <Application>Microsoft Office Word</Application>
  <DocSecurity>0</DocSecurity>
  <Lines>3</Lines>
  <Paragraphs>7</Paragraphs>
  <ScaleCrop>false</ScaleCrop>
  <Company>微软中国</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“河南省砂姜黑土区小麦玉米一年两熟均衡增产综合管理技术规程”</dc:title>
  <dc:creator>微软用户</dc:creator>
  <cp:lastModifiedBy>user</cp:lastModifiedBy>
  <cp:revision>10</cp:revision>
  <cp:lastPrinted>2019-06-05T02:00:00Z</cp:lastPrinted>
  <dcterms:created xsi:type="dcterms:W3CDTF">2023-07-07T12:28:00Z</dcterms:created>
  <dcterms:modified xsi:type="dcterms:W3CDTF">2025-06-18T00:07:00Z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78D14EC6B98742C3B5EB4F39D8D72791_13</vt:lpwstr>
  </property>
  <property fmtid="{D5CDD505-2E9C-101B-9397-08002B2CF9AE}" pid="4" name="KSOTemplateDocerSaveRecord">
    <vt:lpwstr>eyJoZGlkIjoiZTUyY2JhYWZmYmFhNDAyYmRjNzgwZTY4MjgyMWNlNTAiLCJ1c2VySWQiOiIyNTE0ODgxNzEifQ==</vt:lpwstr>
  </property>
</Properties>
</file>