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D36" w:rsidRDefault="00C66D36" w:rsidP="00C66D36">
      <w:pPr>
        <w:snapToGrid w:val="0"/>
        <w:ind w:firstLineChars="196" w:firstLine="862"/>
        <w:jc w:val="center"/>
        <w:rPr>
          <w:rFonts w:ascii="方正小标宋简体" w:eastAsia="方正小标宋简体" w:hAnsi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hint="eastAsia"/>
          <w:kern w:val="0"/>
          <w:sz w:val="44"/>
          <w:szCs w:val="44"/>
        </w:rPr>
        <w:t>《山地旅游景区雷电灾害防御技术规范》</w:t>
      </w:r>
    </w:p>
    <w:p w:rsidR="00C66D36" w:rsidRDefault="00C66D36" w:rsidP="00C66D36">
      <w:pPr>
        <w:snapToGrid w:val="0"/>
        <w:ind w:firstLineChars="196" w:firstLine="862"/>
        <w:jc w:val="center"/>
        <w:rPr>
          <w:rFonts w:ascii="方正小标宋简体" w:eastAsia="方正小标宋简体" w:hAnsi="方正小标宋简体"/>
          <w:kern w:val="0"/>
          <w:sz w:val="44"/>
          <w:szCs w:val="44"/>
        </w:rPr>
      </w:pPr>
      <w:r>
        <w:rPr>
          <w:rFonts w:ascii="方正小标宋简体" w:eastAsia="方正小标宋简体" w:hAnsi="方正小标宋简体" w:hint="eastAsia"/>
          <w:kern w:val="0"/>
          <w:sz w:val="44"/>
          <w:szCs w:val="44"/>
        </w:rPr>
        <w:t>南阳市地方标准编制说明</w:t>
      </w:r>
    </w:p>
    <w:p w:rsidR="00C66D36" w:rsidRDefault="00C66D36" w:rsidP="00C66D36">
      <w:pPr>
        <w:snapToGrid w:val="0"/>
        <w:ind w:firstLineChars="196" w:firstLine="862"/>
        <w:jc w:val="center"/>
        <w:rPr>
          <w:rFonts w:ascii="黑体" w:eastAsia="黑体" w:hAnsi="黑体"/>
          <w:kern w:val="0"/>
          <w:sz w:val="44"/>
          <w:szCs w:val="44"/>
        </w:rPr>
      </w:pP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t>编制的目的和意义</w:t>
      </w:r>
    </w:p>
    <w:p w:rsidR="00C66D36" w:rsidRDefault="00C66D36" w:rsidP="00C66D36">
      <w:pPr>
        <w:pStyle w:val="2"/>
        <w:numPr>
          <w:ilvl w:val="0"/>
          <w:numId w:val="1"/>
        </w:numPr>
        <w:ind w:firstLine="426"/>
        <w:rPr>
          <w:rFonts w:ascii="宋体" w:hAnsi="宋体"/>
          <w:szCs w:val="21"/>
        </w:rPr>
      </w:pPr>
      <w:r>
        <w:rPr>
          <w:rFonts w:hint="eastAsia"/>
        </w:rPr>
        <w:t>政策依据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 w:hAnsi="宋体"/>
        </w:rPr>
      </w:pPr>
      <w:r>
        <w:rPr>
          <w:rFonts w:ascii="仿宋_GB2312" w:eastAsia="仿宋_GB2312" w:hint="eastAsia"/>
        </w:rPr>
        <w:t>《中华人民共和国国家标准化法》、《中华人民共和国标准化法实施条例》、《中华人民共和国气象法》、《河南省地方标准管理办法》、《河南省“十四五”文化和旅游发展规划》（豫政〔2021〕</w:t>
      </w:r>
      <w:r>
        <w:rPr>
          <w:rFonts w:ascii="仿宋_GB2312" w:eastAsia="仿宋_GB2312" w:hAnsi="宋体" w:hint="eastAsia"/>
        </w:rPr>
        <w:t>39 号）、《南阳市文化旅游产业高质量发展规划（2022—2035年）》等。</w:t>
      </w:r>
    </w:p>
    <w:p w:rsidR="00C66D36" w:rsidRDefault="00C66D36" w:rsidP="00C66D36">
      <w:pPr>
        <w:pStyle w:val="2"/>
        <w:numPr>
          <w:ilvl w:val="0"/>
          <w:numId w:val="1"/>
        </w:numPr>
        <w:ind w:firstLine="426"/>
      </w:pPr>
      <w:r>
        <w:rPr>
          <w:rFonts w:hint="eastAsia"/>
        </w:rPr>
        <w:t>研究背景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南阳地处北纬32°17′-33°48′，东经110°58′-113°49′，处于</w:t>
      </w:r>
      <w:proofErr w:type="gramStart"/>
      <w:r>
        <w:rPr>
          <w:rFonts w:ascii="仿宋_GB2312" w:eastAsia="仿宋_GB2312" w:hint="eastAsia"/>
        </w:rPr>
        <w:t>亚热带向暖温带</w:t>
      </w:r>
      <w:proofErr w:type="gramEnd"/>
      <w:r>
        <w:rPr>
          <w:rFonts w:ascii="仿宋_GB2312" w:eastAsia="仿宋_GB2312" w:hint="eastAsia"/>
        </w:rPr>
        <w:t>的过渡地带，属典型的季风大陆半湿润气候，四季分明，阳光充足，雨量充沛。南阳历史悠久、文化生生不息，是中华文明探源核心区。“楚风汉韵古帝乡”——南阳是楚文化发祥地、汉文化鼎盛地；“医药商埠</w:t>
      </w:r>
      <w:proofErr w:type="gramStart"/>
      <w:r>
        <w:rPr>
          <w:rFonts w:ascii="仿宋_GB2312" w:eastAsia="仿宋_GB2312" w:hint="eastAsia"/>
        </w:rPr>
        <w:t>誉</w:t>
      </w:r>
      <w:proofErr w:type="gramEnd"/>
      <w:r>
        <w:rPr>
          <w:rFonts w:ascii="仿宋_GB2312" w:eastAsia="仿宋_GB2312" w:hint="eastAsia"/>
        </w:rPr>
        <w:t>华夏”——南阳是仲景中医药文化传承地，世界中医药重要发祥地之一，已成为全国重要的中医药科研教育基地和健康养生之都；“官德衙署传今世”——百里</w:t>
      </w:r>
      <w:proofErr w:type="gramStart"/>
      <w:r>
        <w:rPr>
          <w:rFonts w:ascii="仿宋_GB2312" w:eastAsia="仿宋_GB2312" w:hint="eastAsia"/>
        </w:rPr>
        <w:t>奚</w:t>
      </w:r>
      <w:proofErr w:type="gramEnd"/>
      <w:r>
        <w:rPr>
          <w:rFonts w:ascii="仿宋_GB2312" w:eastAsia="仿宋_GB2312" w:hint="eastAsia"/>
        </w:rPr>
        <w:t>等古圣先贤与能臣廉吏孕育出独特的传统政德文化，拥有南阳府</w:t>
      </w:r>
      <w:proofErr w:type="gramStart"/>
      <w:r>
        <w:rPr>
          <w:rFonts w:ascii="仿宋_GB2312" w:eastAsia="仿宋_GB2312" w:hint="eastAsia"/>
        </w:rPr>
        <w:t>衙</w:t>
      </w:r>
      <w:proofErr w:type="gramEnd"/>
      <w:r>
        <w:rPr>
          <w:rFonts w:ascii="仿宋_GB2312" w:eastAsia="仿宋_GB2312" w:hint="eastAsia"/>
        </w:rPr>
        <w:t>、内乡县衙两块中国衙署文化活化石；“人杰辈出圣贤地”——南阳孕育了无</w:t>
      </w:r>
      <w:proofErr w:type="gramStart"/>
      <w:r>
        <w:rPr>
          <w:rFonts w:ascii="仿宋_GB2312" w:eastAsia="仿宋_GB2312" w:hint="eastAsia"/>
        </w:rPr>
        <w:t>数文化</w:t>
      </w:r>
      <w:proofErr w:type="gramEnd"/>
      <w:r>
        <w:rPr>
          <w:rFonts w:ascii="仿宋_GB2312" w:eastAsia="仿宋_GB2312" w:hint="eastAsia"/>
        </w:rPr>
        <w:t>名人，“南阳四圣”科</w:t>
      </w:r>
      <w:r>
        <w:rPr>
          <w:rFonts w:ascii="仿宋_GB2312" w:eastAsia="仿宋_GB2312" w:hint="eastAsia"/>
        </w:rPr>
        <w:lastRenderedPageBreak/>
        <w:t>圣张衡、医圣张仲景、商圣范</w:t>
      </w:r>
      <w:proofErr w:type="gramStart"/>
      <w:r>
        <w:rPr>
          <w:rFonts w:ascii="仿宋_GB2312" w:eastAsia="仿宋_GB2312" w:hint="eastAsia"/>
        </w:rPr>
        <w:t>蠡</w:t>
      </w:r>
      <w:proofErr w:type="gramEnd"/>
      <w:r>
        <w:rPr>
          <w:rFonts w:ascii="仿宋_GB2312" w:eastAsia="仿宋_GB2312" w:hint="eastAsia"/>
        </w:rPr>
        <w:t>、智圣诸葛亮在中华文明中举足轻重；“南水北调润华夏”——南水北调工程功在当代,利在千秋，南阳人民用“艰苦创业、勇于创新、甘于牺牲、无私奉献、为国分忧”铸就了伟大的渠首精神。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南阳旅游资源类型多样、功能丰富，已形成观光游览型、参与体验型、文化知识型、度假疗养型四类旅游资源；高品级旅游资源众多，代表性旅游资源共70个，其中五级旅游资源8个，分别为老界岭风景区、西峡恐龙遗迹园、丹江湖南水北调、南阳卧龙岗武侯祠、医圣祠、汉画馆汉画像砖艺术、楚长城（方城石猴）、独山玉，四级旅游资源12个，三级旅游资源15个，二级旅游资源35个。根据《河南省雷电易发区域及防范等级划分》——南阳市雷电易发区域图对比分析，南阳市的山地旅游景区和南阳市雷电易发区域</w:t>
      </w:r>
      <w:proofErr w:type="gramStart"/>
      <w:r>
        <w:rPr>
          <w:rFonts w:ascii="仿宋_GB2312" w:eastAsia="仿宋_GB2312" w:hint="eastAsia"/>
        </w:rPr>
        <w:t>图基本</w:t>
      </w:r>
      <w:proofErr w:type="gramEnd"/>
      <w:r>
        <w:rPr>
          <w:rFonts w:ascii="仿宋_GB2312" w:eastAsia="仿宋_GB2312" w:hint="eastAsia"/>
        </w:rPr>
        <w:t>吻合，因此做好山地旅游景区的雷电灾害防御更加重要。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南阳盆地多暴雨、雷雨大风、冰雹、雷电和短时强降水等强对流灾害性天气，加之南阳地形复杂，强对流天气频发，为了进一步加强山地旅游景区雷电灾害防御工作，编制《山地旅游景区雷电灾害防御规范》就显得尤为重要。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山地旅游景区的雷电灾害防御应遵循“安全第一，预防为主、预防与应急相结合”的原则。雷电易发区山地旅游景区的雷电灾害防御，应在调查地理、地质、土壤、气象、环境等条件和雷电</w:t>
      </w:r>
      <w:r>
        <w:rPr>
          <w:rFonts w:ascii="仿宋_GB2312" w:eastAsia="仿宋_GB2312" w:hint="eastAsia"/>
        </w:rPr>
        <w:lastRenderedPageBreak/>
        <w:t>活动规律、旅游景区特点等基础上，确定防护措施。山地旅游景区的游道、观景平台、索道系统、电气和电子系统、游乐园（场）、水景设施、古树名</w:t>
      </w:r>
      <w:proofErr w:type="gramStart"/>
      <w:r>
        <w:rPr>
          <w:rFonts w:ascii="仿宋_GB2312" w:eastAsia="仿宋_GB2312" w:hint="eastAsia"/>
        </w:rPr>
        <w:t>木及其</w:t>
      </w:r>
      <w:proofErr w:type="gramEnd"/>
      <w:r>
        <w:rPr>
          <w:rFonts w:ascii="仿宋_GB2312" w:eastAsia="仿宋_GB2312" w:hint="eastAsia"/>
        </w:rPr>
        <w:t>他空旷地带等易发生雷电灾害的场所，应在雷电灾害风险评估的基础上，采取综合防雷措施。山地旅游景区应建立雷电监测预警系统，并制定应急预案。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山地旅游景区雷电灾害防御规定的研究，具有很强的创新性和超前性，填补了目前山地旅游景区防雷领域的技术规范空白，对山地旅游景区的雷电灾害防御向标准化管理迈进起到了积极作用。为国内基层雷电灾害防御相关领域的技术规范制定提供了参考，对进一步推进雷电易发区山地旅游景区旅游安全工作具有重要意义。</w:t>
      </w:r>
    </w:p>
    <w:p w:rsidR="00C66D36" w:rsidRDefault="00C66D36" w:rsidP="00C66D36">
      <w:pPr>
        <w:pStyle w:val="2"/>
        <w:numPr>
          <w:ilvl w:val="0"/>
          <w:numId w:val="1"/>
        </w:numPr>
        <w:ind w:firstLine="426"/>
      </w:pPr>
      <w:r>
        <w:rPr>
          <w:rFonts w:hint="eastAsia"/>
        </w:rPr>
        <w:t>可行性分析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本标准根据山地旅游景区雷电灾害防御自身的特点，充分借鉴参考相关国家标准和行业标准，对雷电灾害防御技术要求进行充分论证，注重标准的科学性。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随着气候变暖，夏季极端天气呈频发趋势，加上山地旅游景区设施的特殊性，遇到雷暴等灾害性天气时，对人员及设施的安全都造成了极大的威胁，为了避免和减少恶劣天气造成安全事故，应对山地旅游景区的雷电灾害防御开展分析、研究和总结，《山地旅游景区雷电灾害防御规定》可以指导山地旅游景区设施经营或主管单位防御雷电灾害，有效避免雷电灾害造成的人民生命和</w:t>
      </w:r>
      <w:r>
        <w:rPr>
          <w:rFonts w:ascii="仿宋_GB2312" w:eastAsia="仿宋_GB2312" w:hint="eastAsia"/>
        </w:rPr>
        <w:lastRenderedPageBreak/>
        <w:t>财产损失，具有一定的社会和经济效益。</w:t>
      </w: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t>任务来源及编制原则和依据</w:t>
      </w:r>
    </w:p>
    <w:p w:rsidR="00C66D36" w:rsidRDefault="00D2797A" w:rsidP="00D2797A">
      <w:pPr>
        <w:pStyle w:val="2"/>
        <w:ind w:firstLineChars="133" w:firstLine="426"/>
      </w:pPr>
      <w:bookmarkStart w:id="0" w:name="_GoBack"/>
      <w:bookmarkEnd w:id="0"/>
      <w:r>
        <w:rPr>
          <w:rFonts w:hint="eastAsia"/>
        </w:rPr>
        <w:t>（一）</w:t>
      </w:r>
      <w:r w:rsidR="00C66D36">
        <w:rPr>
          <w:rFonts w:hint="eastAsia"/>
        </w:rPr>
        <w:t>任务来源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为填补省内山地旅游景区雷电灾害防御规范的空白，规范山地旅游景区雷电防护措施、雷电监测预警、雷电灾害应急与处置、防雷装置的检测与维护等方面的内容，2025年4月南阳市市场监督管理局下发了《南阳市市场监督管理局关于下达2025年南阳市地方标准制订计划的通知》（</w:t>
      </w:r>
      <w:proofErr w:type="gramStart"/>
      <w:r>
        <w:rPr>
          <w:rFonts w:ascii="仿宋_GB2312" w:eastAsia="仿宋_GB2312" w:hint="eastAsia"/>
        </w:rPr>
        <w:t>宛市监</w:t>
      </w:r>
      <w:proofErr w:type="gramEnd"/>
      <w:r>
        <w:rPr>
          <w:rFonts w:ascii="仿宋_GB2312" w:eastAsia="仿宋_GB2312" w:hint="eastAsia"/>
        </w:rPr>
        <w:t>函</w:t>
      </w:r>
      <w:r w:rsidR="00D2797A">
        <w:rPr>
          <w:rFonts w:ascii="仿宋_GB2312" w:eastAsia="仿宋_GB2312" w:hint="eastAsia"/>
        </w:rPr>
        <w:t>〔</w:t>
      </w:r>
      <w:r>
        <w:rPr>
          <w:rFonts w:ascii="仿宋_GB2312" w:eastAsia="仿宋_GB2312" w:hint="eastAsia"/>
        </w:rPr>
        <w:t>2025</w:t>
      </w:r>
      <w:r w:rsidR="00D2797A">
        <w:rPr>
          <w:rFonts w:ascii="仿宋_GB2312" w:eastAsia="仿宋_GB2312" w:hint="eastAsia"/>
        </w:rPr>
        <w:t>〕</w:t>
      </w:r>
      <w:r>
        <w:rPr>
          <w:rFonts w:ascii="仿宋_GB2312" w:eastAsia="仿宋_GB2312" w:hint="eastAsia"/>
        </w:rPr>
        <w:t>12号），正式下达《山地旅游景区雷电灾害防御技术规范》项目，</w:t>
      </w:r>
      <w:r w:rsidR="00D2797A" w:rsidRPr="00D2797A">
        <w:rPr>
          <w:rFonts w:ascii="仿宋_GB2312" w:eastAsia="仿宋_GB2312" w:hint="eastAsia"/>
        </w:rPr>
        <w:t>南阳市气象标准化技术委员会归口</w:t>
      </w:r>
      <w:r w:rsidR="00D2797A"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</w:rPr>
        <w:t>南阳气象站、</w:t>
      </w:r>
      <w:r w:rsidRPr="00D2797A">
        <w:rPr>
          <w:rFonts w:ascii="仿宋_GB2312" w:eastAsia="仿宋_GB2312" w:hint="eastAsia"/>
        </w:rPr>
        <w:t>南阳市气象灾害防御技术中心</w:t>
      </w:r>
      <w:r>
        <w:rPr>
          <w:rFonts w:ascii="仿宋_GB2312" w:eastAsia="仿宋_GB2312" w:hint="eastAsia"/>
        </w:rPr>
        <w:t>承担标准的起草工作。</w:t>
      </w:r>
    </w:p>
    <w:p w:rsidR="00C66D36" w:rsidRDefault="00D2797A" w:rsidP="00C66D36">
      <w:pPr>
        <w:snapToGrid w:val="0"/>
        <w:ind w:firstLineChars="196" w:firstLine="627"/>
        <w:rPr>
          <w:rFonts w:ascii="楷体" w:eastAsia="楷体" w:hAnsi="楷体"/>
          <w:kern w:val="0"/>
          <w:sz w:val="32"/>
          <w:szCs w:val="32"/>
        </w:rPr>
      </w:pPr>
      <w:r>
        <w:rPr>
          <w:rFonts w:ascii="楷体" w:eastAsia="楷体" w:hAnsi="楷体" w:hint="eastAsia"/>
          <w:kern w:val="0"/>
          <w:sz w:val="32"/>
          <w:szCs w:val="32"/>
        </w:rPr>
        <w:t>（二）</w:t>
      </w:r>
      <w:r w:rsidR="00C66D36">
        <w:rPr>
          <w:rFonts w:ascii="楷体" w:eastAsia="楷体" w:hAnsi="楷体" w:hint="eastAsia"/>
          <w:kern w:val="0"/>
          <w:sz w:val="32"/>
          <w:szCs w:val="32"/>
        </w:rPr>
        <w:t>编制原则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本标准根据《中华人民共和国国家标准化法》、《中华人民共和国标准化法实施条例》、《中华人民共和国气象法》等有关法规、规章进行编写。</w:t>
      </w:r>
    </w:p>
    <w:p w:rsidR="00C66D36" w:rsidRDefault="00D2797A" w:rsidP="00C66D36">
      <w:pPr>
        <w:snapToGrid w:val="0"/>
        <w:ind w:firstLineChars="196" w:firstLine="627"/>
        <w:rPr>
          <w:rFonts w:ascii="楷体" w:eastAsia="楷体" w:hAnsi="楷体"/>
          <w:kern w:val="0"/>
          <w:sz w:val="32"/>
          <w:szCs w:val="32"/>
        </w:rPr>
      </w:pPr>
      <w:r>
        <w:rPr>
          <w:rFonts w:ascii="楷体" w:eastAsia="楷体" w:hAnsi="楷体" w:hint="eastAsia"/>
          <w:kern w:val="0"/>
          <w:sz w:val="32"/>
          <w:szCs w:val="32"/>
        </w:rPr>
        <w:t>（三）</w:t>
      </w:r>
      <w:r w:rsidR="00C66D36">
        <w:rPr>
          <w:rFonts w:ascii="楷体" w:eastAsia="楷体" w:hAnsi="楷体" w:hint="eastAsia"/>
          <w:kern w:val="0"/>
          <w:sz w:val="32"/>
          <w:szCs w:val="32"/>
        </w:rPr>
        <w:t>编制依据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本标准根据山地旅游景区的特征，在雷电灾害防御方面，对雷电灾害防御的一般规定、雷电灾害的防御准备、雷电灾害的防御措施、雷电灾害防御的灾后处置、雷电防护装置的检测与维护。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本标准主要条款的依据如下：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GB/T 26355－2010 旅游景区服务指南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GB/T 29639－2020 生产经营单位安全生产事故应急预案编</w:t>
      </w:r>
      <w:r>
        <w:rPr>
          <w:rFonts w:ascii="仿宋_GB2312" w:eastAsia="仿宋_GB2312" w:hint="eastAsia"/>
        </w:rPr>
        <w:lastRenderedPageBreak/>
        <w:t>制导则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GB/T 27961－2011 气象服务分类术语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GB/T 27966－2011 灾害性天气预报警报指南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  <w:kern w:val="0"/>
        </w:rPr>
      </w:pPr>
      <w:r>
        <w:rPr>
          <w:rFonts w:ascii="仿宋_GB2312" w:eastAsia="仿宋_GB2312" w:hint="eastAsia"/>
        </w:rPr>
        <w:t>LB/T 011－2011 旅游景区游客中心设施与服务</w:t>
      </w:r>
      <w:r>
        <w:rPr>
          <w:rFonts w:ascii="仿宋_GB2312" w:eastAsia="仿宋_GB2312" w:hint="eastAsia"/>
          <w:kern w:val="0"/>
        </w:rPr>
        <w:t>规范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LB/T 013－2011 旅游景区公共信息导向系统设置规范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GB/T 21431-2015 建筑物防雷装置检测技术规范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GB 50057—2010 建筑物防雷设计规范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GB 50601 建筑物防雷工程施工与质量验收规范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QX/T 103—2017 雷电灾害调查技术规范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QX/T 264—2015 旅游景区雷电灾害防御技术规范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GB/T 21714.2 雷电防护 第2部分：风险管理</w:t>
      </w: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t>编制过程</w:t>
      </w:r>
    </w:p>
    <w:p w:rsidR="00C66D36" w:rsidRDefault="00C66D36" w:rsidP="00C66D36">
      <w:pPr>
        <w:pStyle w:val="2"/>
        <w:numPr>
          <w:ilvl w:val="0"/>
          <w:numId w:val="4"/>
        </w:numPr>
        <w:ind w:firstLineChars="133" w:firstLine="426"/>
      </w:pPr>
      <w:r>
        <w:rPr>
          <w:rFonts w:hint="eastAsia"/>
        </w:rPr>
        <w:t>标准起草阶段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 w:hAnsi="宋体"/>
        </w:rPr>
      </w:pPr>
      <w:r>
        <w:rPr>
          <w:rFonts w:ascii="仿宋_GB2312" w:eastAsia="仿宋_GB2312" w:hint="eastAsia"/>
        </w:rPr>
        <w:t>2025年4月本标准经南阳市市场监督管理局立项通过后，成立了《山地旅游景区雷电灾害防御技术规范》起草项目组。项目组由南阳气象局程传军同志负责，刘建青、白丹丹等为成员。在前期研究基础上，收集、研究相关国家、行业标准，查阅相关文献资料，经过多次讨论、反复修改，于2025年6月编制出征求意见稿。</w:t>
      </w: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t>主要内容的确定</w:t>
      </w:r>
    </w:p>
    <w:p w:rsidR="00C66D36" w:rsidRDefault="00C66D36" w:rsidP="00C66D36">
      <w:pPr>
        <w:pStyle w:val="2"/>
        <w:numPr>
          <w:ilvl w:val="0"/>
          <w:numId w:val="5"/>
        </w:numPr>
        <w:ind w:firstLineChars="133" w:firstLine="426"/>
        <w:rPr>
          <w:rFonts w:ascii="仿宋_GB2312"/>
        </w:rPr>
      </w:pPr>
      <w:r>
        <w:rPr>
          <w:rFonts w:hint="eastAsia"/>
        </w:rPr>
        <w:t>一般规定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遵循《气象灾害防御条例》、《气象灾害防御重点单位气象安全保障规范》GB/T 36742-2018等有关规定和要求。</w:t>
      </w:r>
    </w:p>
    <w:p w:rsidR="00C66D36" w:rsidRDefault="00C66D36" w:rsidP="00C66D36">
      <w:pPr>
        <w:pStyle w:val="2"/>
        <w:numPr>
          <w:ilvl w:val="0"/>
          <w:numId w:val="5"/>
        </w:numPr>
        <w:ind w:firstLineChars="133" w:firstLine="426"/>
      </w:pPr>
      <w:r>
        <w:rPr>
          <w:rFonts w:hint="eastAsia"/>
        </w:rPr>
        <w:t>防御准备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基本规定和防雷分类应符合 GB 50057—2010 的有关规定，山地旅游景区</w:t>
      </w:r>
      <w:proofErr w:type="gramStart"/>
      <w:r>
        <w:rPr>
          <w:rFonts w:ascii="仿宋_GB2312" w:eastAsia="仿宋_GB2312" w:hint="eastAsia"/>
        </w:rPr>
        <w:t>宜按照</w:t>
      </w:r>
      <w:proofErr w:type="gramEnd"/>
      <w:r>
        <w:rPr>
          <w:rFonts w:ascii="仿宋_GB2312" w:eastAsia="仿宋_GB2312" w:hint="eastAsia"/>
        </w:rPr>
        <w:t>第二类防雷进行设计施工。主要是考虑南阳市属于中雷暴区域，年预计雷击次数较高，且山地旅游景区雷击风险及雷击后果较大，故将防雷类别直接定为二类。电气系统和电子系统的防雷保护参照QX/T 264-2015中第5.4节规定。</w:t>
      </w:r>
    </w:p>
    <w:p w:rsidR="00C66D36" w:rsidRDefault="00C66D36" w:rsidP="00C66D36">
      <w:pPr>
        <w:pStyle w:val="2"/>
        <w:numPr>
          <w:ilvl w:val="0"/>
          <w:numId w:val="5"/>
        </w:numPr>
        <w:ind w:firstLineChars="133" w:firstLine="426"/>
      </w:pPr>
      <w:r>
        <w:rPr>
          <w:rFonts w:hint="eastAsia"/>
        </w:rPr>
        <w:t>雷电灾害防御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根据《临近天气预报》GB/T 28594-2012和《闪电监测定位系统 第一部分 技术条件》QX/T 79.1-2007的要求进行规定。</w:t>
      </w:r>
    </w:p>
    <w:p w:rsidR="00C66D36" w:rsidRDefault="00C66D36" w:rsidP="00C66D36">
      <w:pPr>
        <w:pStyle w:val="2"/>
        <w:numPr>
          <w:ilvl w:val="0"/>
          <w:numId w:val="5"/>
        </w:numPr>
        <w:ind w:firstLineChars="133" w:firstLine="426"/>
      </w:pPr>
      <w:r>
        <w:rPr>
          <w:rFonts w:hint="eastAsia"/>
        </w:rPr>
        <w:t>灾后处置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依据《雷电灾害应急处置规范》GBT 34312-2017中的处置原则和要求等进行规定。</w:t>
      </w:r>
    </w:p>
    <w:p w:rsidR="00C66D36" w:rsidRDefault="00C66D36" w:rsidP="00C66D36">
      <w:pPr>
        <w:pStyle w:val="2"/>
        <w:numPr>
          <w:ilvl w:val="0"/>
          <w:numId w:val="5"/>
        </w:numPr>
        <w:ind w:firstLineChars="133" w:firstLine="426"/>
      </w:pPr>
      <w:r>
        <w:rPr>
          <w:rFonts w:hint="eastAsia"/>
        </w:rPr>
        <w:t>雷电防护装置的检测与维护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结合《建筑物防雷装置检测技术规范》GB/T21431-2015，提供山地旅游景区需要特殊考虑、日常维护重点的内容，一方面充分保障设计条款的落实，一方面为山地旅游景区的日常管理、运营安全提供参考。</w:t>
      </w: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t>采标情况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未采用国际标准和国外先进标准。</w:t>
      </w: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lastRenderedPageBreak/>
        <w:t>重大意见分歧的处理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无</w:t>
      </w: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t>与国家法律法规和强制性标准的关系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本标准在编制过程中，尽量直接引用的方式或修改引用相关国家标准、行业标准主要技术内容，确保与相关国家标准、行业标准相协调、相衔接。不与其它法律、法规、标准相违背。</w:t>
      </w: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t>标准实施的建议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本标准针对性的规范了山地旅游景区的雷电灾害防御的一般规定、雷电灾害的防御准备、雷电灾害的防御措施、雷电灾害防御的灾后处置、雷电防护装置的检测与维护等内容，可行性、可操作性强，建议本标准作为推荐性标准发布。</w:t>
      </w:r>
    </w:p>
    <w:p w:rsidR="00C66D36" w:rsidRDefault="00C66D36" w:rsidP="00C66D36">
      <w:pPr>
        <w:pStyle w:val="1"/>
        <w:numPr>
          <w:ilvl w:val="0"/>
          <w:numId w:val="2"/>
        </w:numPr>
        <w:ind w:firstLine="627"/>
      </w:pPr>
      <w:r>
        <w:rPr>
          <w:rFonts w:hint="eastAsia"/>
        </w:rPr>
        <w:t>其他应予说明的事项</w:t>
      </w:r>
    </w:p>
    <w:p w:rsidR="00C66D36" w:rsidRDefault="00C66D36" w:rsidP="00C66D36">
      <w:pPr>
        <w:pStyle w:val="a5"/>
        <w:ind w:firstLineChars="200" w:firstLine="640"/>
        <w:rPr>
          <w:rFonts w:ascii="仿宋_GB2312" w:eastAsia="仿宋_GB2312"/>
        </w:rPr>
      </w:pPr>
      <w:r>
        <w:rPr>
          <w:rFonts w:ascii="仿宋_GB2312" w:eastAsia="仿宋_GB2312" w:hint="eastAsia"/>
        </w:rPr>
        <w:t>无</w:t>
      </w:r>
    </w:p>
    <w:p w:rsidR="00C66D36" w:rsidRDefault="00C66D36" w:rsidP="00C66D36">
      <w:pPr>
        <w:snapToGrid w:val="0"/>
        <w:ind w:firstLineChars="133" w:firstLine="426"/>
        <w:rPr>
          <w:rFonts w:ascii="仿宋_GB2312" w:eastAsia="仿宋_GB2312" w:hAnsi="黑体"/>
          <w:sz w:val="32"/>
          <w:szCs w:val="32"/>
        </w:rPr>
      </w:pPr>
    </w:p>
    <w:p w:rsidR="00C66D36" w:rsidRDefault="00C66D36" w:rsidP="00C66D36">
      <w:pPr>
        <w:snapToGrid w:val="0"/>
        <w:ind w:firstLineChars="133" w:firstLine="426"/>
        <w:rPr>
          <w:rFonts w:ascii="仿宋_GB2312" w:eastAsia="仿宋_GB2312" w:hAnsi="黑体"/>
          <w:sz w:val="32"/>
          <w:szCs w:val="32"/>
        </w:rPr>
      </w:pPr>
    </w:p>
    <w:p w:rsidR="00C66D36" w:rsidRDefault="00C66D36" w:rsidP="00D2797A">
      <w:pPr>
        <w:snapToGrid w:val="0"/>
        <w:rPr>
          <w:rFonts w:ascii="仿宋_GB2312" w:eastAsia="仿宋_GB2312" w:hAnsi="黑体"/>
          <w:sz w:val="32"/>
          <w:szCs w:val="32"/>
        </w:rPr>
      </w:pPr>
    </w:p>
    <w:p w:rsidR="00C66D36" w:rsidRDefault="00C66D36" w:rsidP="00C66D36">
      <w:pPr>
        <w:pStyle w:val="a5"/>
        <w:ind w:firstLineChars="200" w:firstLine="640"/>
        <w:jc w:val="right"/>
        <w:rPr>
          <w:rFonts w:ascii="仿宋_GB2312" w:eastAsia="仿宋_GB2312"/>
        </w:rPr>
      </w:pPr>
      <w:r>
        <w:rPr>
          <w:rFonts w:ascii="仿宋_GB2312" w:eastAsia="仿宋_GB2312" w:hint="eastAsia"/>
        </w:rPr>
        <w:t>《山地旅游景区雷电灾害防御技术规范》标准起草小组</w:t>
      </w:r>
    </w:p>
    <w:p w:rsidR="00C66D36" w:rsidRDefault="00C66D36" w:rsidP="00D2797A">
      <w:pPr>
        <w:pStyle w:val="a5"/>
        <w:ind w:rightChars="12" w:right="25" w:firstLineChars="1300" w:firstLine="4160"/>
        <w:rPr>
          <w:rFonts w:ascii="仿宋_GB2312" w:eastAsia="仿宋_GB2312"/>
        </w:rPr>
      </w:pPr>
      <w:r>
        <w:rPr>
          <w:rFonts w:ascii="仿宋_GB2312" w:eastAsia="仿宋_GB2312" w:hint="eastAsia"/>
        </w:rPr>
        <w:t>2025年6月1</w:t>
      </w:r>
      <w:r w:rsidR="00D2797A">
        <w:rPr>
          <w:rFonts w:ascii="仿宋_GB2312" w:eastAsia="仿宋_GB2312" w:hint="eastAsia"/>
        </w:rPr>
        <w:t>7</w:t>
      </w:r>
      <w:r>
        <w:rPr>
          <w:rFonts w:ascii="仿宋_GB2312" w:eastAsia="仿宋_GB2312" w:hint="eastAsia"/>
        </w:rPr>
        <w:t>日</w:t>
      </w:r>
    </w:p>
    <w:p w:rsidR="00FC4CAB" w:rsidRDefault="00FC4CAB"/>
    <w:sectPr w:rsidR="00FC4CA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C8B" w:rsidRDefault="00B23C8B" w:rsidP="00C66D36">
      <w:r>
        <w:separator/>
      </w:r>
    </w:p>
  </w:endnote>
  <w:endnote w:type="continuationSeparator" w:id="0">
    <w:p w:rsidR="00B23C8B" w:rsidRDefault="00B23C8B" w:rsidP="00C6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653" w:rsidRDefault="00D270D1">
    <w:pPr>
      <w:pStyle w:val="a4"/>
      <w:ind w:right="210" w:firstLineChars="100" w:firstLine="280"/>
      <w:rPr>
        <w:rFonts w:ascii="宋体" w:hAnsi="宋体"/>
        <w:sz w:val="28"/>
      </w:rPr>
    </w:pPr>
    <w:r>
      <w:rPr>
        <w:rFonts w:ascii="宋体" w:hAnsi="宋体" w:hint="eastAsia"/>
        <w:sz w:val="28"/>
      </w:rPr>
      <w:t xml:space="preserve">— </w:t>
    </w:r>
    <w:r>
      <w:rPr>
        <w:rFonts w:ascii="宋体" w:hAnsi="宋体" w:hint="eastAsia"/>
        <w:sz w:val="28"/>
      </w:rPr>
      <w:fldChar w:fldCharType="begin"/>
    </w:r>
    <w:r>
      <w:rPr>
        <w:rFonts w:ascii="宋体" w:hAnsi="宋体" w:hint="eastAsia"/>
        <w:sz w:val="28"/>
      </w:rPr>
      <w:instrText xml:space="preserve"> PAGE \* Arabic \* MERGEFORMAT </w:instrText>
    </w:r>
    <w:r>
      <w:rPr>
        <w:rFonts w:ascii="宋体" w:hAnsi="宋体" w:hint="eastAsia"/>
        <w:sz w:val="28"/>
      </w:rPr>
      <w:fldChar w:fldCharType="separate"/>
    </w:r>
    <w:r w:rsidRPr="00C31934">
      <w:rPr>
        <w:rFonts w:ascii="宋体" w:hAnsi="宋体"/>
        <w:noProof/>
        <w:sz w:val="28"/>
      </w:rPr>
      <w:t>6</w:t>
    </w:r>
    <w:r>
      <w:rPr>
        <w:rFonts w:ascii="宋体" w:hAnsi="宋体" w:hint="eastAsia"/>
        <w:sz w:val="28"/>
      </w:rPr>
      <w:fldChar w:fldCharType="end"/>
    </w:r>
    <w:r>
      <w:rPr>
        <w:rFonts w:ascii="宋体" w:hAnsi="宋体" w:hint="eastAsia"/>
        <w:sz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653" w:rsidRDefault="00D270D1">
    <w:pPr>
      <w:pStyle w:val="a4"/>
      <w:ind w:right="210"/>
      <w:rPr>
        <w:rFonts w:ascii="宋体" w:hAnsi="宋体"/>
        <w:sz w:val="28"/>
      </w:rPr>
    </w:pPr>
    <w:r>
      <w:rPr>
        <w:rFonts w:ascii="宋体" w:hAnsi="宋体" w:hint="eastAsia"/>
        <w:sz w:val="28"/>
      </w:rPr>
      <w:t xml:space="preserve">— </w:t>
    </w:r>
    <w:r>
      <w:rPr>
        <w:rFonts w:ascii="宋体" w:hAnsi="宋体" w:hint="eastAsia"/>
        <w:sz w:val="28"/>
      </w:rPr>
      <w:fldChar w:fldCharType="begin"/>
    </w:r>
    <w:r>
      <w:rPr>
        <w:rFonts w:ascii="宋体" w:hAnsi="宋体" w:hint="eastAsia"/>
        <w:sz w:val="28"/>
      </w:rPr>
      <w:instrText xml:space="preserve"> PAGE \* Arabic \* MERGEFORMAT </w:instrText>
    </w:r>
    <w:r>
      <w:rPr>
        <w:rFonts w:ascii="宋体" w:hAnsi="宋体" w:hint="eastAsia"/>
        <w:sz w:val="28"/>
      </w:rPr>
      <w:fldChar w:fldCharType="separate"/>
    </w:r>
    <w:r w:rsidR="00D2797A">
      <w:rPr>
        <w:rFonts w:ascii="宋体" w:hAnsi="宋体"/>
        <w:noProof/>
        <w:sz w:val="28"/>
      </w:rPr>
      <w:t>7</w:t>
    </w:r>
    <w:r>
      <w:rPr>
        <w:rFonts w:ascii="宋体" w:hAnsi="宋体" w:hint="eastAsia"/>
        <w:sz w:val="28"/>
      </w:rPr>
      <w:fldChar w:fldCharType="end"/>
    </w:r>
    <w:r>
      <w:rPr>
        <w:rFonts w:ascii="宋体" w:hAnsi="宋体" w:hint="eastAsia"/>
        <w:sz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653" w:rsidRDefault="00744653">
    <w:pPr>
      <w:pStyle w:val="a4"/>
      <w:ind w:right="2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C8B" w:rsidRDefault="00B23C8B" w:rsidP="00C66D36">
      <w:r>
        <w:separator/>
      </w:r>
    </w:p>
  </w:footnote>
  <w:footnote w:type="continuationSeparator" w:id="0">
    <w:p w:rsidR="00B23C8B" w:rsidRDefault="00B23C8B" w:rsidP="00C66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653" w:rsidRDefault="00744653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653" w:rsidRDefault="0074465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034C"/>
    <w:multiLevelType w:val="multilevel"/>
    <w:tmpl w:val="0C3F034C"/>
    <w:lvl w:ilvl="0">
      <w:start w:val="1"/>
      <w:numFmt w:val="chineseCountingThousand"/>
      <w:suff w:val="nothing"/>
      <w:lvlText w:val="（%1）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75B73DE0"/>
    <w:multiLevelType w:val="multilevel"/>
    <w:tmpl w:val="75B73DE0"/>
    <w:lvl w:ilvl="0">
      <w:start w:val="1"/>
      <w:numFmt w:val="chineseCountingThousand"/>
      <w:suff w:val="nothing"/>
      <w:lvlText w:val="%1、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41"/>
    <w:rsid w:val="002F7141"/>
    <w:rsid w:val="003A347E"/>
    <w:rsid w:val="00744653"/>
    <w:rsid w:val="00891FA0"/>
    <w:rsid w:val="00B23C8B"/>
    <w:rsid w:val="00C66D36"/>
    <w:rsid w:val="00C67E4F"/>
    <w:rsid w:val="00D270D1"/>
    <w:rsid w:val="00D2797A"/>
    <w:rsid w:val="00FC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66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6D36"/>
    <w:rPr>
      <w:sz w:val="18"/>
      <w:szCs w:val="18"/>
    </w:rPr>
  </w:style>
  <w:style w:type="paragraph" w:styleId="a4">
    <w:name w:val="footer"/>
    <w:basedOn w:val="a"/>
    <w:link w:val="Char0"/>
    <w:unhideWhenUsed/>
    <w:rsid w:val="00C66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6D36"/>
    <w:rPr>
      <w:sz w:val="18"/>
      <w:szCs w:val="18"/>
    </w:rPr>
  </w:style>
  <w:style w:type="paragraph" w:customStyle="1" w:styleId="2">
    <w:name w:val="公文:2级标题"/>
    <w:link w:val="20"/>
    <w:rsid w:val="00C66D36"/>
    <w:pPr>
      <w:outlineLvl w:val="1"/>
    </w:pPr>
    <w:rPr>
      <w:rFonts w:ascii="黑体" w:eastAsia="楷体" w:hAnsi="黑体" w:cs="Times New Roman"/>
      <w:kern w:val="0"/>
      <w:sz w:val="32"/>
      <w:szCs w:val="32"/>
    </w:rPr>
  </w:style>
  <w:style w:type="character" w:customStyle="1" w:styleId="20">
    <w:name w:val="公文:2级标题 字符"/>
    <w:link w:val="2"/>
    <w:rsid w:val="00C66D36"/>
    <w:rPr>
      <w:rFonts w:ascii="黑体" w:eastAsia="楷体" w:hAnsi="黑体" w:cs="Times New Roman"/>
      <w:kern w:val="0"/>
      <w:sz w:val="32"/>
      <w:szCs w:val="32"/>
    </w:rPr>
  </w:style>
  <w:style w:type="paragraph" w:customStyle="1" w:styleId="1">
    <w:name w:val="公文:1级标题"/>
    <w:link w:val="10"/>
    <w:rsid w:val="00C66D36"/>
    <w:pPr>
      <w:ind w:firstLineChars="196" w:firstLine="196"/>
      <w:outlineLvl w:val="0"/>
    </w:pPr>
    <w:rPr>
      <w:rFonts w:ascii="黑体" w:eastAsia="黑体" w:hAnsi="黑体" w:cs="Times New Roman"/>
      <w:kern w:val="0"/>
      <w:sz w:val="32"/>
      <w:szCs w:val="32"/>
    </w:rPr>
  </w:style>
  <w:style w:type="character" w:customStyle="1" w:styleId="10">
    <w:name w:val="公文:1级标题 字符"/>
    <w:link w:val="1"/>
    <w:rsid w:val="00C66D36"/>
    <w:rPr>
      <w:rFonts w:ascii="黑体" w:eastAsia="黑体" w:hAnsi="黑体" w:cs="Times New Roman"/>
      <w:kern w:val="0"/>
      <w:sz w:val="32"/>
      <w:szCs w:val="32"/>
    </w:rPr>
  </w:style>
  <w:style w:type="paragraph" w:customStyle="1" w:styleId="a5">
    <w:name w:val="公文:正文(缩进)"/>
    <w:basedOn w:val="a"/>
    <w:link w:val="a6"/>
    <w:rsid w:val="00C66D36"/>
    <w:rPr>
      <w:rFonts w:ascii="黑体" w:eastAsia="仿宋" w:hAnsi="黑体"/>
      <w:sz w:val="32"/>
      <w:szCs w:val="32"/>
    </w:rPr>
  </w:style>
  <w:style w:type="character" w:customStyle="1" w:styleId="a6">
    <w:name w:val="公文:正文(缩进) 字符"/>
    <w:link w:val="a5"/>
    <w:rsid w:val="00C66D36"/>
    <w:rPr>
      <w:rFonts w:ascii="黑体" w:eastAsia="仿宋" w:hAnsi="黑体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D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66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66D36"/>
    <w:rPr>
      <w:sz w:val="18"/>
      <w:szCs w:val="18"/>
    </w:rPr>
  </w:style>
  <w:style w:type="paragraph" w:styleId="a4">
    <w:name w:val="footer"/>
    <w:basedOn w:val="a"/>
    <w:link w:val="Char0"/>
    <w:unhideWhenUsed/>
    <w:rsid w:val="00C66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66D36"/>
    <w:rPr>
      <w:sz w:val="18"/>
      <w:szCs w:val="18"/>
    </w:rPr>
  </w:style>
  <w:style w:type="paragraph" w:customStyle="1" w:styleId="2">
    <w:name w:val="公文:2级标题"/>
    <w:link w:val="20"/>
    <w:rsid w:val="00C66D36"/>
    <w:pPr>
      <w:outlineLvl w:val="1"/>
    </w:pPr>
    <w:rPr>
      <w:rFonts w:ascii="黑体" w:eastAsia="楷体" w:hAnsi="黑体" w:cs="Times New Roman"/>
      <w:kern w:val="0"/>
      <w:sz w:val="32"/>
      <w:szCs w:val="32"/>
    </w:rPr>
  </w:style>
  <w:style w:type="character" w:customStyle="1" w:styleId="20">
    <w:name w:val="公文:2级标题 字符"/>
    <w:link w:val="2"/>
    <w:rsid w:val="00C66D36"/>
    <w:rPr>
      <w:rFonts w:ascii="黑体" w:eastAsia="楷体" w:hAnsi="黑体" w:cs="Times New Roman"/>
      <w:kern w:val="0"/>
      <w:sz w:val="32"/>
      <w:szCs w:val="32"/>
    </w:rPr>
  </w:style>
  <w:style w:type="paragraph" w:customStyle="1" w:styleId="1">
    <w:name w:val="公文:1级标题"/>
    <w:link w:val="10"/>
    <w:rsid w:val="00C66D36"/>
    <w:pPr>
      <w:ind w:firstLineChars="196" w:firstLine="196"/>
      <w:outlineLvl w:val="0"/>
    </w:pPr>
    <w:rPr>
      <w:rFonts w:ascii="黑体" w:eastAsia="黑体" w:hAnsi="黑体" w:cs="Times New Roman"/>
      <w:kern w:val="0"/>
      <w:sz w:val="32"/>
      <w:szCs w:val="32"/>
    </w:rPr>
  </w:style>
  <w:style w:type="character" w:customStyle="1" w:styleId="10">
    <w:name w:val="公文:1级标题 字符"/>
    <w:link w:val="1"/>
    <w:rsid w:val="00C66D36"/>
    <w:rPr>
      <w:rFonts w:ascii="黑体" w:eastAsia="黑体" w:hAnsi="黑体" w:cs="Times New Roman"/>
      <w:kern w:val="0"/>
      <w:sz w:val="32"/>
      <w:szCs w:val="32"/>
    </w:rPr>
  </w:style>
  <w:style w:type="paragraph" w:customStyle="1" w:styleId="a5">
    <w:name w:val="公文:正文(缩进)"/>
    <w:basedOn w:val="a"/>
    <w:link w:val="a6"/>
    <w:rsid w:val="00C66D36"/>
    <w:rPr>
      <w:rFonts w:ascii="黑体" w:eastAsia="仿宋" w:hAnsi="黑体"/>
      <w:sz w:val="32"/>
      <w:szCs w:val="32"/>
    </w:rPr>
  </w:style>
  <w:style w:type="character" w:customStyle="1" w:styleId="a6">
    <w:name w:val="公文:正文(缩进) 字符"/>
    <w:link w:val="a5"/>
    <w:rsid w:val="00C66D36"/>
    <w:rPr>
      <w:rFonts w:ascii="黑体" w:eastAsia="仿宋" w:hAnsi="黑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480</Words>
  <Characters>2740</Characters>
  <Application>Microsoft Office Word</Application>
  <DocSecurity>0</DocSecurity>
  <Lines>22</Lines>
  <Paragraphs>6</Paragraphs>
  <ScaleCrop>false</ScaleCrop>
  <Company>Microsoft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李德芳(部门核签)</dc:creator>
  <cp:keywords/>
  <dc:description/>
  <cp:lastModifiedBy>李德芳(部门核签)</cp:lastModifiedBy>
  <cp:revision>4</cp:revision>
  <dcterms:created xsi:type="dcterms:W3CDTF">2025-06-19T02:05:00Z</dcterms:created>
  <dcterms:modified xsi:type="dcterms:W3CDTF">2025-06-19T02:10:00Z</dcterms:modified>
</cp:coreProperties>
</file>